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3BDDE01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57AE6FD4" w:rsidR="00F445B1" w:rsidRPr="00F95BC9" w:rsidRDefault="003269B5" w:rsidP="004A6D2F">
            <w:pPr>
              <w:rPr>
                <w:rStyle w:val="Firstpagetablebold"/>
              </w:rPr>
            </w:pPr>
            <w:r>
              <w:rPr>
                <w:rStyle w:val="Firstpagetablebold"/>
              </w:rPr>
              <w:t>General Purposes Licensing Sub-Committee</w:t>
            </w:r>
          </w:p>
        </w:tc>
      </w:tr>
      <w:tr w:rsidR="00CE544A" w:rsidRPr="00975B07" w14:paraId="705FA4FB" w14:textId="77777777" w:rsidTr="3BDDE01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36742DAC" w:rsidR="00F445B1" w:rsidRPr="009E30E2" w:rsidRDefault="682D0B56" w:rsidP="666623EE">
            <w:pPr>
              <w:spacing w:line="259" w:lineRule="auto"/>
            </w:pPr>
            <w:r w:rsidRPr="008DB586">
              <w:rPr>
                <w:rStyle w:val="Firstpagetablebold"/>
                <w:rFonts w:cs="Arial"/>
                <w:b w:val="0"/>
                <w:color w:val="auto"/>
              </w:rPr>
              <w:t xml:space="preserve">3 November </w:t>
            </w:r>
            <w:r w:rsidR="6B1A1E9C" w:rsidRPr="008DB586">
              <w:rPr>
                <w:rStyle w:val="Firstpagetablebold"/>
                <w:rFonts w:cs="Arial"/>
                <w:b w:val="0"/>
                <w:color w:val="auto"/>
              </w:rPr>
              <w:t>2025</w:t>
            </w:r>
          </w:p>
        </w:tc>
      </w:tr>
      <w:tr w:rsidR="00CE544A" w:rsidRPr="00975B07" w14:paraId="7AED9E48" w14:textId="77777777" w:rsidTr="3BDDE013">
        <w:trPr>
          <w:trHeight w:val="375"/>
        </w:trPr>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76962BE2" w:rsidR="00F445B1" w:rsidRPr="009E30E2" w:rsidRDefault="003269B5" w:rsidP="004A6D2F">
            <w:pPr>
              <w:rPr>
                <w:rStyle w:val="Firstpagetablebold"/>
                <w:color w:val="auto"/>
              </w:rPr>
            </w:pPr>
            <w:r>
              <w:rPr>
                <w:rStyle w:val="Firstpagetablebold"/>
                <w:rFonts w:cs="Arial"/>
                <w:b w:val="0"/>
                <w:color w:val="auto"/>
              </w:rPr>
              <w:t>David Butler: Director of Planning and Regulation</w:t>
            </w:r>
          </w:p>
        </w:tc>
      </w:tr>
      <w:tr w:rsidR="00CE544A" w:rsidRPr="00975B07" w14:paraId="312CDF01" w14:textId="77777777" w:rsidTr="3BDDE013">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2C886AA6" w:rsidR="00F445B1" w:rsidRPr="009E30E2" w:rsidRDefault="58E0A370" w:rsidP="004A6D2F">
            <w:pPr>
              <w:rPr>
                <w:rStyle w:val="Firstpagetablebold"/>
                <w:color w:val="auto"/>
              </w:rPr>
            </w:pPr>
            <w:r w:rsidRPr="3BDDE013">
              <w:rPr>
                <w:rStyle w:val="Firstpagetablebold"/>
                <w:rFonts w:cs="Arial"/>
                <w:b w:val="0"/>
                <w:color w:val="auto"/>
              </w:rPr>
              <w:t>Hellal Ahmed</w:t>
            </w:r>
            <w:r w:rsidR="484B763C" w:rsidRPr="3BDDE013">
              <w:rPr>
                <w:rStyle w:val="Firstpagetablebold"/>
                <w:rFonts w:cs="Arial"/>
                <w:b w:val="0"/>
                <w:color w:val="auto"/>
              </w:rPr>
              <w:t xml:space="preserve"> </w:t>
            </w:r>
            <w:r w:rsidR="7CF8FA80" w:rsidRPr="3BDDE013">
              <w:rPr>
                <w:rStyle w:val="Firstpagetablebold"/>
                <w:rFonts w:cs="Arial"/>
                <w:b w:val="0"/>
                <w:color w:val="auto"/>
              </w:rPr>
              <w:t xml:space="preserve">Street Trading </w:t>
            </w:r>
            <w:r w:rsidR="6D14F234" w:rsidRPr="3BDDE013">
              <w:rPr>
                <w:rStyle w:val="Firstpagetablebold"/>
                <w:rFonts w:cs="Arial"/>
                <w:b w:val="0"/>
                <w:color w:val="auto"/>
              </w:rPr>
              <w:t>Applica</w:t>
            </w:r>
            <w:r w:rsidR="57B1D9E8" w:rsidRPr="3BDDE013">
              <w:rPr>
                <w:rStyle w:val="Firstpagetablebold"/>
                <w:rFonts w:cs="Arial"/>
                <w:b w:val="0"/>
                <w:color w:val="auto"/>
              </w:rPr>
              <w:t>tion</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3BDDE013">
        <w:trPr>
          <w:trHeight w:val="510"/>
        </w:trPr>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3BDDE013">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5B9B36B7" w:rsidR="00D5547E" w:rsidRPr="009E30E2" w:rsidRDefault="39B77D04" w:rsidP="0F519E25">
            <w:r w:rsidRPr="3BDDE013">
              <w:rPr>
                <w:color w:val="auto"/>
              </w:rPr>
              <w:t>T</w:t>
            </w:r>
            <w:r>
              <w:t xml:space="preserve">o determine </w:t>
            </w:r>
            <w:r w:rsidR="773D7987">
              <w:t xml:space="preserve">a </w:t>
            </w:r>
            <w:r w:rsidR="5530BCB3">
              <w:t xml:space="preserve">street trading application from </w:t>
            </w:r>
            <w:r w:rsidR="31BDAE10">
              <w:t>Hellal Ahmed</w:t>
            </w:r>
          </w:p>
        </w:tc>
      </w:tr>
      <w:tr w:rsidR="00025250" w14:paraId="43BD728D" w14:textId="77777777" w:rsidTr="3BDDE013">
        <w:tc>
          <w:tcPr>
            <w:tcW w:w="2438"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B0C58F5" w14:textId="2AC56D03" w:rsidR="00025250" w:rsidRPr="009E30E2" w:rsidRDefault="00025250" w:rsidP="00025250">
            <w:pPr>
              <w:rPr>
                <w:color w:val="auto"/>
              </w:rPr>
            </w:pPr>
            <w:r w:rsidRPr="009E30E2">
              <w:rPr>
                <w:rFonts w:cs="Arial"/>
                <w:color w:val="auto"/>
              </w:rPr>
              <w:t>No</w:t>
            </w:r>
          </w:p>
        </w:tc>
      </w:tr>
      <w:tr w:rsidR="00025250" w14:paraId="10A3E36F" w14:textId="77777777" w:rsidTr="3BDDE013">
        <w:tc>
          <w:tcPr>
            <w:tcW w:w="2438" w:type="dxa"/>
            <w:tcBorders>
              <w:top w:val="nil"/>
              <w:left w:val="single" w:sz="8" w:space="0" w:color="000000" w:themeColor="text1"/>
              <w:bottom w:val="nil"/>
              <w:right w:val="nil"/>
            </w:tcBorders>
            <w:hideMark/>
          </w:tcPr>
          <w:p w14:paraId="55E06E9D" w14:textId="7569EFCB" w:rsidR="00025250" w:rsidRDefault="00025250" w:rsidP="5ABE01BF">
            <w:pPr>
              <w:rPr>
                <w:rStyle w:val="Firstpagetablebold"/>
              </w:rPr>
            </w:pPr>
          </w:p>
        </w:tc>
        <w:tc>
          <w:tcPr>
            <w:tcW w:w="6407" w:type="dxa"/>
            <w:tcBorders>
              <w:top w:val="nil"/>
              <w:left w:val="nil"/>
              <w:bottom w:val="nil"/>
              <w:right w:val="single" w:sz="8" w:space="0" w:color="000000" w:themeColor="text1"/>
            </w:tcBorders>
            <w:hideMark/>
          </w:tcPr>
          <w:p w14:paraId="1E006809" w14:textId="72A2E308" w:rsidR="00025250" w:rsidRPr="009E30E2" w:rsidRDefault="00025250" w:rsidP="00025250">
            <w:pPr>
              <w:rPr>
                <w:color w:val="auto"/>
              </w:rPr>
            </w:pPr>
          </w:p>
        </w:tc>
      </w:tr>
      <w:tr w:rsidR="00025250" w14:paraId="7B700325" w14:textId="77777777" w:rsidTr="3BDDE013">
        <w:tc>
          <w:tcPr>
            <w:tcW w:w="2438"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120F5C69" w14:textId="591D1E9C" w:rsidR="00025250" w:rsidRPr="009E30E2" w:rsidRDefault="2D992552" w:rsidP="5ECF6EC6">
            <w:pPr>
              <w:spacing w:line="259" w:lineRule="auto"/>
            </w:pPr>
            <w:r w:rsidRPr="5ECF6EC6">
              <w:rPr>
                <w:color w:val="auto"/>
              </w:rPr>
              <w:t>Enable an Inclusive Economy</w:t>
            </w:r>
          </w:p>
          <w:p w14:paraId="3DF1AC69" w14:textId="3D701FDE" w:rsidR="00025250" w:rsidRPr="009E30E2" w:rsidRDefault="2D992552" w:rsidP="5ECF6EC6">
            <w:pPr>
              <w:spacing w:line="259" w:lineRule="auto"/>
              <w:rPr>
                <w:color w:val="auto"/>
              </w:rPr>
            </w:pPr>
            <w:r w:rsidRPr="5ECF6EC6">
              <w:rPr>
                <w:color w:val="auto"/>
              </w:rPr>
              <w:t>Support Thriving Communities</w:t>
            </w:r>
          </w:p>
        </w:tc>
      </w:tr>
      <w:tr w:rsidR="00025250" w14:paraId="63186D5F" w14:textId="77777777" w:rsidTr="3BDDE013">
        <w:tc>
          <w:tcPr>
            <w:tcW w:w="2438"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0AA7D163" w14:textId="7CDFD8A3" w:rsidR="00025250" w:rsidRPr="009E30E2" w:rsidRDefault="5FD04B01" w:rsidP="5ECF6EC6">
            <w:pPr>
              <w:spacing w:line="259" w:lineRule="auto"/>
            </w:pPr>
            <w:r w:rsidRPr="5ECF6EC6">
              <w:rPr>
                <w:color w:val="auto"/>
              </w:rPr>
              <w:t xml:space="preserve">City of Oxford Street Trading Policy </w:t>
            </w:r>
          </w:p>
        </w:tc>
      </w:tr>
    </w:tbl>
    <w:p w14:paraId="3B28CE5F" w14:textId="77777777" w:rsidR="00CE544A" w:rsidRDefault="00CE544A" w:rsidP="004A6D2F"/>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3"/>
      </w:tblGrid>
      <w:tr w:rsidR="00025250" w:rsidRPr="00975B07" w14:paraId="75BF65A5" w14:textId="77777777" w:rsidTr="107AA0CE">
        <w:trPr>
          <w:trHeight w:val="300"/>
        </w:trPr>
        <w:tc>
          <w:tcPr>
            <w:tcW w:w="8813" w:type="dxa"/>
          </w:tcPr>
          <w:p w14:paraId="18FB24CC" w14:textId="6C744198" w:rsidR="00025250" w:rsidRPr="00975B07" w:rsidRDefault="4F75C1DF" w:rsidP="0F519E25">
            <w:pPr>
              <w:rPr>
                <w:rStyle w:val="Firstpagetablebold"/>
                <w:b w:val="0"/>
              </w:rPr>
            </w:pPr>
            <w:r w:rsidRPr="0F519E25">
              <w:rPr>
                <w:rStyle w:val="Firstpagetablebold"/>
              </w:rPr>
              <w:t>Recommendation(s):</w:t>
            </w:r>
            <w:r w:rsidR="5B761FE6" w:rsidRPr="0F519E25">
              <w:rPr>
                <w:rStyle w:val="Firstpagetablebold"/>
              </w:rPr>
              <w:t xml:space="preserve"> </w:t>
            </w:r>
            <w:r w:rsidRPr="0F519E25">
              <w:rPr>
                <w:rStyle w:val="Firstpagetablebold"/>
                <w:b w:val="0"/>
              </w:rPr>
              <w:t xml:space="preserve">That </w:t>
            </w:r>
            <w:r w:rsidR="17B7B0E8" w:rsidRPr="0F519E25">
              <w:rPr>
                <w:rStyle w:val="Firstpagetablebold"/>
                <w:b w:val="0"/>
              </w:rPr>
              <w:t>the General Purposes Licensing Sub</w:t>
            </w:r>
            <w:r w:rsidR="0066681C">
              <w:rPr>
                <w:rStyle w:val="Firstpagetablebold"/>
                <w:b w:val="0"/>
              </w:rPr>
              <w:t>-C</w:t>
            </w:r>
            <w:r w:rsidR="17B7B0E8" w:rsidRPr="0F519E25">
              <w:rPr>
                <w:rStyle w:val="Firstpagetablebold"/>
                <w:b w:val="0"/>
              </w:rPr>
              <w:t>ommittee</w:t>
            </w:r>
            <w:r w:rsidRPr="0F519E25">
              <w:rPr>
                <w:rStyle w:val="Firstpagetablebold"/>
                <w:b w:val="0"/>
              </w:rPr>
              <w:t>:</w:t>
            </w:r>
          </w:p>
        </w:tc>
      </w:tr>
      <w:tr w:rsidR="00025250" w:rsidRPr="00975B07" w14:paraId="128A7C0D" w14:textId="77777777" w:rsidTr="107AA0CE">
        <w:trPr>
          <w:trHeight w:val="300"/>
        </w:trPr>
        <w:tc>
          <w:tcPr>
            <w:tcW w:w="8813" w:type="dxa"/>
          </w:tcPr>
          <w:p w14:paraId="04656AB6" w14:textId="32CF7CDA" w:rsidR="22FCD994" w:rsidRDefault="2782CE7B" w:rsidP="008DB586">
            <w:pPr>
              <w:pStyle w:val="ListParagraph"/>
              <w:rPr>
                <w:rStyle w:val="Firstpagetablebold"/>
                <w:b w:val="0"/>
              </w:rPr>
            </w:pPr>
            <w:r w:rsidRPr="107AA0CE">
              <w:rPr>
                <w:rStyle w:val="Firstpagetablebold"/>
                <w:bCs/>
              </w:rPr>
              <w:t xml:space="preserve"> Consider </w:t>
            </w:r>
            <w:r w:rsidRPr="107AA0CE">
              <w:rPr>
                <w:rStyle w:val="Firstpagetablebold"/>
                <w:b w:val="0"/>
              </w:rPr>
              <w:t xml:space="preserve">all the information before them, written and oral evidence, which relates to </w:t>
            </w:r>
            <w:r w:rsidR="3B70D0F4" w:rsidRPr="107AA0CE">
              <w:rPr>
                <w:rStyle w:val="Firstpagetablebold"/>
                <w:b w:val="0"/>
              </w:rPr>
              <w:t xml:space="preserve">Maria </w:t>
            </w:r>
            <w:r w:rsidR="30B279AC" w:rsidRPr="107AA0CE">
              <w:rPr>
                <w:rStyle w:val="Firstpagetablebold"/>
                <w:b w:val="0"/>
              </w:rPr>
              <w:t xml:space="preserve">Reyes </w:t>
            </w:r>
            <w:r w:rsidR="3B70D0F4" w:rsidRPr="107AA0CE">
              <w:rPr>
                <w:rStyle w:val="Firstpagetablebold"/>
                <w:b w:val="0"/>
              </w:rPr>
              <w:t>Valencia</w:t>
            </w:r>
            <w:r w:rsidR="3C9DFA28" w:rsidRPr="107AA0CE">
              <w:rPr>
                <w:rStyle w:val="Firstpagetablebold"/>
                <w:b w:val="0"/>
              </w:rPr>
              <w:t xml:space="preserve">’s application. </w:t>
            </w:r>
          </w:p>
          <w:p w14:paraId="2D683A1F" w14:textId="627C9831" w:rsidR="22FCD994" w:rsidRDefault="1F54137E" w:rsidP="5ABE01BF">
            <w:pPr>
              <w:pStyle w:val="ListParagraph"/>
              <w:rPr>
                <w:rStyle w:val="Firstpagetablebold"/>
                <w:b w:val="0"/>
                <w:color w:val="000000" w:themeColor="text1"/>
              </w:rPr>
            </w:pPr>
            <w:r w:rsidRPr="008DB586">
              <w:rPr>
                <w:rStyle w:val="Firstpagetablebold"/>
                <w:bCs/>
                <w:color w:val="000000" w:themeColor="text1"/>
              </w:rPr>
              <w:t>Determine</w:t>
            </w:r>
            <w:r w:rsidRPr="008DB586">
              <w:rPr>
                <w:rStyle w:val="Firstpagetablebold"/>
                <w:b w:val="0"/>
                <w:color w:val="000000" w:themeColor="text1"/>
              </w:rPr>
              <w:t xml:space="preserve"> from the options</w:t>
            </w:r>
            <w:r w:rsidR="0C7CD83C" w:rsidRPr="008DB586">
              <w:rPr>
                <w:rStyle w:val="Firstpagetablebold"/>
                <w:b w:val="0"/>
                <w:color w:val="000000" w:themeColor="text1"/>
              </w:rPr>
              <w:t xml:space="preserve"> given in the report</w:t>
            </w:r>
            <w:r w:rsidR="60667550" w:rsidRPr="008DB586">
              <w:rPr>
                <w:rStyle w:val="Firstpagetablebold"/>
                <w:b w:val="0"/>
                <w:color w:val="000000" w:themeColor="text1"/>
              </w:rPr>
              <w:t>, the application to trade on the street in Oxford</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38"/>
        <w:gridCol w:w="8607"/>
      </w:tblGrid>
      <w:tr w:rsidR="00025250" w:rsidRPr="003E4C33" w14:paraId="67F8F7AF" w14:textId="77777777" w:rsidTr="008DB586">
        <w:trPr>
          <w:trHeight w:val="300"/>
        </w:trPr>
        <w:tc>
          <w:tcPr>
            <w:tcW w:w="8845" w:type="dxa"/>
            <w:gridSpan w:val="2"/>
            <w:tcBorders>
              <w:bottom w:val="single" w:sz="8" w:space="0" w:color="000000" w:themeColor="text1"/>
            </w:tcBorders>
            <w:hideMark/>
          </w:tcPr>
          <w:p w14:paraId="59493166" w14:textId="00B2F881" w:rsidR="00025250" w:rsidRPr="003E4C33" w:rsidRDefault="00025250" w:rsidP="00FD0B08">
            <w:pPr>
              <w:jc w:val="center"/>
              <w:rPr>
                <w:rStyle w:val="Firstpagetablebold"/>
                <w:rFonts w:cs="Arial"/>
              </w:rPr>
            </w:pPr>
            <w:r w:rsidRPr="003E4C33">
              <w:rPr>
                <w:rStyle w:val="Firstpagetablebold"/>
                <w:rFonts w:cs="Arial"/>
              </w:rPr>
              <w:t xml:space="preserve">Information Exempt </w:t>
            </w:r>
            <w:r w:rsidR="004A618C">
              <w:rPr>
                <w:rStyle w:val="Firstpagetablebold"/>
                <w:rFonts w:cs="Arial"/>
              </w:rPr>
              <w:t>f</w:t>
            </w:r>
            <w:r w:rsidRPr="003E4C33">
              <w:rPr>
                <w:rStyle w:val="Firstpagetablebold"/>
                <w:rFonts w:cs="Arial"/>
              </w:rPr>
              <w:t xml:space="preserve">rom Publication </w:t>
            </w:r>
          </w:p>
        </w:tc>
      </w:tr>
      <w:tr w:rsidR="00025250" w:rsidRPr="003E4C33" w14:paraId="40623F28" w14:textId="77777777" w:rsidTr="008DB58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38" w:type="dxa"/>
            <w:tcBorders>
              <w:top w:val="nil"/>
              <w:left w:val="single" w:sz="8" w:space="0" w:color="000000" w:themeColor="text1"/>
              <w:bottom w:val="nil"/>
              <w:right w:val="nil"/>
            </w:tcBorders>
          </w:tcPr>
          <w:p w14:paraId="5542E86A" w14:textId="12011FDA" w:rsidR="00025250" w:rsidRPr="009E30E2" w:rsidRDefault="00025250" w:rsidP="00FD0B08">
            <w:pPr>
              <w:rPr>
                <w:rStyle w:val="Firstpagetablebold"/>
                <w:rFonts w:cs="Arial"/>
              </w:rPr>
            </w:pPr>
          </w:p>
        </w:tc>
        <w:tc>
          <w:tcPr>
            <w:tcW w:w="8607" w:type="dxa"/>
            <w:vMerge w:val="restart"/>
            <w:tcBorders>
              <w:top w:val="nil"/>
              <w:left w:val="nil"/>
              <w:bottom w:val="single" w:sz="8" w:space="0" w:color="000000" w:themeColor="text1"/>
              <w:right w:val="single" w:sz="8" w:space="0" w:color="000000" w:themeColor="text1"/>
            </w:tcBorders>
          </w:tcPr>
          <w:p w14:paraId="5064A6DD" w14:textId="61D13AFB" w:rsidR="00025250" w:rsidRPr="0066681C" w:rsidRDefault="09F60868" w:rsidP="008DB586">
            <w:pPr>
              <w:rPr>
                <w:rFonts w:cs="Arial"/>
                <w:color w:val="auto"/>
              </w:rPr>
            </w:pPr>
            <w:r w:rsidRPr="008DB586">
              <w:rPr>
                <w:rFonts w:cs="Arial"/>
                <w:color w:val="auto"/>
              </w:rPr>
              <w:t xml:space="preserve">The report does not contain any information which is exempted from publication. </w:t>
            </w:r>
          </w:p>
        </w:tc>
      </w:tr>
      <w:tr w:rsidR="00025250" w:rsidRPr="003E4C33" w14:paraId="7888775D" w14:textId="77777777" w:rsidTr="008DB586">
        <w:trPr>
          <w:trHeight w:val="300"/>
        </w:trPr>
        <w:tc>
          <w:tcPr>
            <w:tcW w:w="238" w:type="dxa"/>
            <w:tcBorders>
              <w:top w:val="nil"/>
              <w:left w:val="single" w:sz="8" w:space="0" w:color="000000" w:themeColor="text1"/>
              <w:bottom w:val="single" w:sz="4" w:space="0" w:color="auto"/>
              <w:right w:val="nil"/>
            </w:tcBorders>
          </w:tcPr>
          <w:p w14:paraId="141DB754" w14:textId="77777777" w:rsidR="00025250" w:rsidRPr="003E4C33" w:rsidRDefault="00025250" w:rsidP="00FD0B08">
            <w:pPr>
              <w:rPr>
                <w:rStyle w:val="Firstpagetablebold"/>
                <w:rFonts w:cs="Arial"/>
                <w:i/>
                <w:iCs/>
                <w:color w:val="D9D9D9" w:themeColor="background1" w:themeShade="D9"/>
              </w:rPr>
            </w:pPr>
          </w:p>
        </w:tc>
        <w:tc>
          <w:tcPr>
            <w:tcW w:w="8607" w:type="dxa"/>
            <w:vMerge/>
          </w:tcPr>
          <w:p w14:paraId="530EC42B" w14:textId="77777777" w:rsidR="00025250" w:rsidRPr="003E4C33" w:rsidRDefault="00025250" w:rsidP="00FD0B08">
            <w:pPr>
              <w:rPr>
                <w:rFonts w:cs="Arial"/>
              </w:rPr>
            </w:pPr>
          </w:p>
        </w:tc>
      </w:tr>
    </w:tbl>
    <w:p w14:paraId="3E3DC543" w14:textId="77777777" w:rsidR="00025250" w:rsidRDefault="00025250" w:rsidP="004A6D2F"/>
    <w:p w14:paraId="6C83D05F" w14:textId="77777777" w:rsidR="0066681C" w:rsidRDefault="0066681C" w:rsidP="004A6D2F"/>
    <w:p w14:paraId="2F884252" w14:textId="77777777" w:rsidR="0066681C" w:rsidRDefault="0066681C"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098"/>
      </w:tblGrid>
      <w:tr w:rsidR="002312EA" w:rsidRPr="003E4C33" w14:paraId="469C2CEE" w14:textId="77777777" w:rsidTr="3BDDE013">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098"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3BDDE01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1DB71C43" w:rsidR="002312EA" w:rsidRPr="009E30E2" w:rsidRDefault="002312EA" w:rsidP="00FD0B08">
            <w:pPr>
              <w:rPr>
                <w:rStyle w:val="Firstpagetablebold"/>
                <w:rFonts w:cs="Arial"/>
                <w:color w:val="auto"/>
              </w:rPr>
            </w:pPr>
            <w:r w:rsidRPr="5ABE01BF">
              <w:rPr>
                <w:rStyle w:val="Firstpagetablebold"/>
                <w:rFonts w:cs="Arial"/>
                <w:color w:val="auto"/>
              </w:rPr>
              <w:t xml:space="preserve">Appendix </w:t>
            </w:r>
            <w:r w:rsidR="3A680A7F" w:rsidRPr="5ABE01BF">
              <w:rPr>
                <w:rStyle w:val="Firstpagetablebold"/>
                <w:rFonts w:cs="Arial"/>
                <w:color w:val="auto"/>
              </w:rPr>
              <w:t>1</w:t>
            </w:r>
          </w:p>
        </w:tc>
        <w:tc>
          <w:tcPr>
            <w:tcW w:w="2803" w:type="dxa"/>
            <w:tcBorders>
              <w:top w:val="single" w:sz="4" w:space="0" w:color="auto"/>
              <w:left w:val="single" w:sz="4" w:space="0" w:color="auto"/>
              <w:bottom w:val="single" w:sz="4" w:space="0" w:color="auto"/>
              <w:right w:val="single" w:sz="4" w:space="0" w:color="auto"/>
            </w:tcBorders>
          </w:tcPr>
          <w:p w14:paraId="3E2ED561" w14:textId="0335C4C6" w:rsidR="002312EA" w:rsidRPr="009E30E2" w:rsidRDefault="1FC4C457" w:rsidP="107AA0CE">
            <w:pPr>
              <w:spacing w:line="259" w:lineRule="auto"/>
              <w:rPr>
                <w:rFonts w:cs="Arial"/>
                <w:color w:val="auto"/>
              </w:rPr>
            </w:pPr>
            <w:r w:rsidRPr="107AA0CE">
              <w:rPr>
                <w:rFonts w:cs="Arial"/>
                <w:color w:val="auto"/>
              </w:rPr>
              <w:t>Application for street trading</w:t>
            </w:r>
            <w:r w:rsidR="118E259D" w:rsidRPr="107AA0CE">
              <w:rPr>
                <w:rFonts w:cs="Arial"/>
                <w:color w:val="auto"/>
              </w:rPr>
              <w:t xml:space="preserve"> and supplementary documentation</w:t>
            </w:r>
          </w:p>
        </w:tc>
        <w:tc>
          <w:tcPr>
            <w:tcW w:w="4098" w:type="dxa"/>
            <w:tcBorders>
              <w:top w:val="single" w:sz="4" w:space="0" w:color="auto"/>
              <w:left w:val="single" w:sz="4" w:space="0" w:color="auto"/>
              <w:bottom w:val="single" w:sz="4" w:space="0" w:color="auto"/>
              <w:right w:val="single" w:sz="4" w:space="0" w:color="auto"/>
            </w:tcBorders>
          </w:tcPr>
          <w:p w14:paraId="375C3021" w14:textId="6D868A54" w:rsidR="095A40FA" w:rsidRDefault="17AA6AAF" w:rsidP="008DB586">
            <w:pPr>
              <w:spacing w:line="259" w:lineRule="auto"/>
              <w:ind w:left="426" w:hanging="426"/>
              <w:rPr>
                <w:color w:val="auto"/>
              </w:rPr>
            </w:pPr>
            <w:r w:rsidRPr="008DB586">
              <w:rPr>
                <w:color w:val="auto"/>
              </w:rPr>
              <w:t>No</w:t>
            </w:r>
          </w:p>
          <w:p w14:paraId="349B4576" w14:textId="2B376507" w:rsidR="002312EA" w:rsidRPr="0066681C" w:rsidRDefault="002312EA" w:rsidP="5ABE01BF">
            <w:pPr>
              <w:rPr>
                <w:rFonts w:cs="Arial"/>
                <w:color w:val="000000" w:themeColor="text1"/>
              </w:rPr>
            </w:pPr>
          </w:p>
        </w:tc>
      </w:tr>
      <w:tr w:rsidR="3BDDE013" w14:paraId="5BB9CA59" w14:textId="77777777" w:rsidTr="3BDDE01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3F3CC383" w14:textId="7EF3ABEB" w:rsidR="016F2994" w:rsidRDefault="016F2994" w:rsidP="3BDDE013">
            <w:pPr>
              <w:rPr>
                <w:rStyle w:val="Firstpagetablebold"/>
                <w:rFonts w:cs="Arial"/>
                <w:color w:val="auto"/>
              </w:rPr>
            </w:pPr>
            <w:r w:rsidRPr="3BDDE013">
              <w:rPr>
                <w:rStyle w:val="Firstpagetablebold"/>
                <w:rFonts w:cs="Arial"/>
                <w:color w:val="auto"/>
              </w:rPr>
              <w:lastRenderedPageBreak/>
              <w:t>Appendix 2</w:t>
            </w:r>
          </w:p>
        </w:tc>
        <w:tc>
          <w:tcPr>
            <w:tcW w:w="2803" w:type="dxa"/>
            <w:tcBorders>
              <w:top w:val="single" w:sz="4" w:space="0" w:color="auto"/>
              <w:left w:val="single" w:sz="4" w:space="0" w:color="auto"/>
              <w:bottom w:val="single" w:sz="4" w:space="0" w:color="auto"/>
              <w:right w:val="single" w:sz="4" w:space="0" w:color="auto"/>
            </w:tcBorders>
          </w:tcPr>
          <w:p w14:paraId="696A532A" w14:textId="6BF5016A" w:rsidR="016F2994" w:rsidRDefault="016F2994" w:rsidP="3BDDE013">
            <w:pPr>
              <w:spacing w:line="259" w:lineRule="auto"/>
              <w:rPr>
                <w:rFonts w:cs="Arial"/>
                <w:color w:val="auto"/>
              </w:rPr>
            </w:pPr>
            <w:r w:rsidRPr="3BDDE013">
              <w:rPr>
                <w:rFonts w:cs="Arial"/>
                <w:color w:val="auto"/>
              </w:rPr>
              <w:t>Response to consultation</w:t>
            </w:r>
          </w:p>
        </w:tc>
        <w:tc>
          <w:tcPr>
            <w:tcW w:w="4098" w:type="dxa"/>
            <w:tcBorders>
              <w:top w:val="single" w:sz="4" w:space="0" w:color="auto"/>
              <w:left w:val="single" w:sz="4" w:space="0" w:color="auto"/>
              <w:bottom w:val="single" w:sz="4" w:space="0" w:color="auto"/>
              <w:right w:val="single" w:sz="4" w:space="0" w:color="auto"/>
            </w:tcBorders>
          </w:tcPr>
          <w:p w14:paraId="5707153E" w14:textId="36E993EF" w:rsidR="016F2994" w:rsidRDefault="016F2994" w:rsidP="3BDDE013">
            <w:pPr>
              <w:spacing w:line="259" w:lineRule="auto"/>
              <w:rPr>
                <w:color w:val="auto"/>
              </w:rPr>
            </w:pPr>
            <w:r w:rsidRPr="3BDDE013">
              <w:rPr>
                <w:color w:val="auto"/>
              </w:rPr>
              <w:t>No</w:t>
            </w:r>
          </w:p>
        </w:tc>
      </w:tr>
    </w:tbl>
    <w:p w14:paraId="572B1CF3" w14:textId="77777777" w:rsidR="002312EA" w:rsidRDefault="002312EA" w:rsidP="004A6D2F"/>
    <w:p w14:paraId="50E21B3B" w14:textId="0F883FC0" w:rsidR="0040736F" w:rsidRPr="001356F1" w:rsidRDefault="4F05D485" w:rsidP="004A6D2F">
      <w:pPr>
        <w:pStyle w:val="Heading1"/>
      </w:pPr>
      <w:r>
        <w:t>Introductio</w:t>
      </w:r>
      <w:r w:rsidR="470FD946">
        <w:t>n</w:t>
      </w:r>
      <w:r w:rsidR="0A5556EF">
        <w:t xml:space="preserve"> </w:t>
      </w:r>
    </w:p>
    <w:p w14:paraId="709D94A0" w14:textId="1569EB14" w:rsidR="0A554668" w:rsidRDefault="00B44A6F" w:rsidP="00BF3872">
      <w:pPr>
        <w:pStyle w:val="bParagraphtext"/>
        <w:numPr>
          <w:ilvl w:val="0"/>
          <w:numId w:val="3"/>
        </w:numPr>
        <w:spacing w:line="259" w:lineRule="auto"/>
        <w:jc w:val="both"/>
        <w:rPr>
          <w:rFonts w:eastAsia="Arial" w:cs="Arial"/>
          <w:color w:val="000000" w:themeColor="text1"/>
        </w:rPr>
      </w:pPr>
      <w:r>
        <w:rPr>
          <w:rFonts w:eastAsia="Arial" w:cs="Arial"/>
          <w:color w:val="000000" w:themeColor="text1"/>
        </w:rPr>
        <w:t xml:space="preserve">This is an application from Hellal Ahmed (‘the applicant’) for an established street trading location on private land to the front of Cowley Workers Sports and Social Club. </w:t>
      </w:r>
    </w:p>
    <w:p w14:paraId="761A7F26" w14:textId="16FB7BF9" w:rsidR="73A594B3" w:rsidRDefault="73A594B3" w:rsidP="00BF3872">
      <w:pPr>
        <w:pStyle w:val="bParagraphtext"/>
        <w:numPr>
          <w:ilvl w:val="0"/>
          <w:numId w:val="3"/>
        </w:numPr>
        <w:spacing w:line="259" w:lineRule="auto"/>
        <w:jc w:val="both"/>
        <w:rPr>
          <w:rFonts w:eastAsia="Arial" w:cs="Arial"/>
          <w:color w:val="000000" w:themeColor="text1"/>
        </w:rPr>
      </w:pPr>
      <w:r w:rsidRPr="6D825C8B">
        <w:rPr>
          <w:rFonts w:eastAsia="Arial" w:cs="Arial"/>
          <w:color w:val="000000" w:themeColor="text1"/>
        </w:rPr>
        <w:t xml:space="preserve">Street Trading </w:t>
      </w:r>
      <w:r w:rsidR="00B44A6F">
        <w:rPr>
          <w:rFonts w:eastAsia="Arial" w:cs="Arial"/>
          <w:color w:val="000000" w:themeColor="text1"/>
        </w:rPr>
        <w:t>C</w:t>
      </w:r>
      <w:r w:rsidRPr="6D825C8B">
        <w:rPr>
          <w:rFonts w:eastAsia="Arial" w:cs="Arial"/>
          <w:color w:val="000000" w:themeColor="text1"/>
        </w:rPr>
        <w:t>onsent can only be granted by the Sub</w:t>
      </w:r>
      <w:r w:rsidR="00B44A6F">
        <w:rPr>
          <w:rFonts w:eastAsia="Arial" w:cs="Arial"/>
          <w:color w:val="000000" w:themeColor="text1"/>
        </w:rPr>
        <w:t>-c</w:t>
      </w:r>
      <w:r w:rsidRPr="6D825C8B">
        <w:rPr>
          <w:rFonts w:eastAsia="Arial" w:cs="Arial"/>
          <w:color w:val="000000" w:themeColor="text1"/>
        </w:rPr>
        <w:t xml:space="preserve">ommittee. </w:t>
      </w:r>
    </w:p>
    <w:p w14:paraId="40E7E8F1" w14:textId="6F74C923" w:rsidR="0A554668" w:rsidRDefault="0A554668" w:rsidP="008DB586">
      <w:pPr>
        <w:pStyle w:val="ListParagraph"/>
        <w:rPr>
          <w:rFonts w:eastAsia="Arial" w:cs="Arial"/>
          <w:color w:val="000000" w:themeColor="text1"/>
        </w:rPr>
      </w:pPr>
      <w:r w:rsidRPr="008DB586">
        <w:rPr>
          <w:rFonts w:eastAsia="Arial" w:cs="Arial"/>
          <w:color w:val="000000" w:themeColor="text1"/>
        </w:rPr>
        <w:t xml:space="preserve">Street </w:t>
      </w:r>
      <w:r w:rsidR="00B44A6F">
        <w:rPr>
          <w:rFonts w:eastAsia="Arial" w:cs="Arial"/>
          <w:color w:val="000000" w:themeColor="text1"/>
        </w:rPr>
        <w:t>T</w:t>
      </w:r>
      <w:r w:rsidRPr="008DB586">
        <w:rPr>
          <w:rFonts w:eastAsia="Arial" w:cs="Arial"/>
          <w:color w:val="000000" w:themeColor="text1"/>
        </w:rPr>
        <w:t xml:space="preserve">rading </w:t>
      </w:r>
      <w:r w:rsidR="00B44A6F">
        <w:rPr>
          <w:rFonts w:eastAsia="Arial" w:cs="Arial"/>
          <w:color w:val="000000" w:themeColor="text1"/>
        </w:rPr>
        <w:t>C</w:t>
      </w:r>
      <w:r w:rsidRPr="008DB586">
        <w:rPr>
          <w:rFonts w:eastAsia="Arial" w:cs="Arial"/>
          <w:color w:val="000000" w:themeColor="text1"/>
        </w:rPr>
        <w:t>onsent is granted subject to the Council’s standard conditions. The Sub</w:t>
      </w:r>
      <w:r w:rsidR="00B44A6F">
        <w:rPr>
          <w:rFonts w:eastAsia="Arial" w:cs="Arial"/>
          <w:color w:val="000000" w:themeColor="text1"/>
        </w:rPr>
        <w:t>-c</w:t>
      </w:r>
      <w:r w:rsidRPr="008DB586">
        <w:rPr>
          <w:rFonts w:eastAsia="Arial" w:cs="Arial"/>
          <w:color w:val="000000" w:themeColor="text1"/>
        </w:rPr>
        <w:t>ommittee may amend or attach any additional conditions to a</w:t>
      </w:r>
      <w:r w:rsidR="00B44A6F">
        <w:rPr>
          <w:rFonts w:eastAsia="Arial" w:cs="Arial"/>
          <w:color w:val="000000" w:themeColor="text1"/>
        </w:rPr>
        <w:t xml:space="preserve"> Street Trading</w:t>
      </w:r>
      <w:r w:rsidRPr="008DB586">
        <w:rPr>
          <w:rFonts w:eastAsia="Arial" w:cs="Arial"/>
          <w:color w:val="000000" w:themeColor="text1"/>
        </w:rPr>
        <w:t xml:space="preserve"> Consent that it considers “reasonably necessary”.</w:t>
      </w:r>
    </w:p>
    <w:p w14:paraId="22DEC610" w14:textId="18CD6D9E" w:rsidR="4E5B652F" w:rsidRDefault="4E5B652F" w:rsidP="3BDDE013">
      <w:pPr>
        <w:pStyle w:val="ListParagraph"/>
        <w:rPr>
          <w:rFonts w:eastAsia="Arial" w:cs="Arial"/>
          <w:color w:val="000000" w:themeColor="text1"/>
        </w:rPr>
      </w:pPr>
      <w:r w:rsidRPr="3BDDE013">
        <w:rPr>
          <w:rFonts w:eastAsia="Arial" w:cs="Arial"/>
          <w:color w:val="000000" w:themeColor="text1"/>
        </w:rPr>
        <w:t xml:space="preserve">This location has previously been traded from by Mohib Ullah, who has sold the equipment to Hellal Ahmed. </w:t>
      </w:r>
      <w:r w:rsidR="00B44A6F">
        <w:rPr>
          <w:rFonts w:eastAsia="Arial" w:cs="Arial"/>
          <w:color w:val="000000" w:themeColor="text1"/>
        </w:rPr>
        <w:t>S</w:t>
      </w:r>
      <w:r w:rsidRPr="3BDDE013">
        <w:rPr>
          <w:rFonts w:eastAsia="Arial" w:cs="Arial"/>
          <w:color w:val="000000" w:themeColor="text1"/>
        </w:rPr>
        <w:t xml:space="preserve">treet </w:t>
      </w:r>
      <w:r w:rsidR="00B44A6F">
        <w:rPr>
          <w:rFonts w:eastAsia="Arial" w:cs="Arial"/>
          <w:color w:val="000000" w:themeColor="text1"/>
        </w:rPr>
        <w:t>T</w:t>
      </w:r>
      <w:r w:rsidRPr="3BDDE013">
        <w:rPr>
          <w:rFonts w:eastAsia="Arial" w:cs="Arial"/>
          <w:color w:val="000000" w:themeColor="text1"/>
        </w:rPr>
        <w:t xml:space="preserve">rading </w:t>
      </w:r>
      <w:r w:rsidR="00B44A6F">
        <w:rPr>
          <w:rFonts w:eastAsia="Arial" w:cs="Arial"/>
          <w:color w:val="000000" w:themeColor="text1"/>
        </w:rPr>
        <w:t>C</w:t>
      </w:r>
      <w:r w:rsidRPr="3BDDE013">
        <w:rPr>
          <w:rFonts w:eastAsia="Arial" w:cs="Arial"/>
          <w:color w:val="000000" w:themeColor="text1"/>
        </w:rPr>
        <w:t>onsents</w:t>
      </w:r>
      <w:r w:rsidR="00B44A6F">
        <w:rPr>
          <w:rFonts w:eastAsia="Arial" w:cs="Arial"/>
          <w:color w:val="000000" w:themeColor="text1"/>
        </w:rPr>
        <w:t xml:space="preserve"> cannot be transferred</w:t>
      </w:r>
      <w:r w:rsidRPr="3BDDE013">
        <w:rPr>
          <w:rFonts w:eastAsia="Arial" w:cs="Arial"/>
          <w:color w:val="000000" w:themeColor="text1"/>
        </w:rPr>
        <w:t xml:space="preserve">, and so Mr Ahmed must make a new application. </w:t>
      </w:r>
    </w:p>
    <w:p w14:paraId="409E723F" w14:textId="52363DF5" w:rsidR="3216386C" w:rsidRDefault="3216386C" w:rsidP="107AA0CE">
      <w:pPr>
        <w:pStyle w:val="ListParagraph"/>
        <w:numPr>
          <w:ilvl w:val="0"/>
          <w:numId w:val="0"/>
        </w:numPr>
        <w:ind w:left="426"/>
        <w:rPr>
          <w:rFonts w:eastAsia="Arial" w:cs="Arial"/>
          <w:color w:val="000000" w:themeColor="text1"/>
        </w:rPr>
      </w:pPr>
      <w:r w:rsidRPr="107AA0CE">
        <w:rPr>
          <w:rFonts w:eastAsia="Arial" w:cs="Arial"/>
          <w:b/>
          <w:bCs/>
          <w:color w:val="000000" w:themeColor="text1"/>
        </w:rPr>
        <w:t>Trading Location</w:t>
      </w:r>
      <w:r w:rsidR="7F18B0E4" w:rsidRPr="107AA0CE">
        <w:rPr>
          <w:rFonts w:eastAsia="Arial" w:cs="Arial"/>
          <w:color w:val="000000" w:themeColor="text1"/>
        </w:rPr>
        <w:t xml:space="preserve"> </w:t>
      </w:r>
    </w:p>
    <w:p w14:paraId="70086B43" w14:textId="47EC206C" w:rsidR="70742FA1" w:rsidRDefault="70742FA1" w:rsidP="3BDDE013">
      <w:pPr>
        <w:pStyle w:val="ListParagraph"/>
        <w:rPr>
          <w:rFonts w:eastAsia="Arial" w:cs="Arial"/>
          <w:color w:val="000000" w:themeColor="text1"/>
        </w:rPr>
      </w:pPr>
      <w:r w:rsidRPr="3BDDE013">
        <w:rPr>
          <w:rFonts w:eastAsia="Arial" w:cs="Arial"/>
          <w:color w:val="000000" w:themeColor="text1"/>
        </w:rPr>
        <w:t xml:space="preserve">The location of the application </w:t>
      </w:r>
      <w:r w:rsidR="2B538E51" w:rsidRPr="3BDDE013">
        <w:rPr>
          <w:rFonts w:eastAsia="Arial" w:cs="Arial"/>
          <w:color w:val="000000" w:themeColor="text1"/>
        </w:rPr>
        <w:t xml:space="preserve">is on the front of Cowley Workers Sports and Social Club. Previously, with the same trading unit, Mr Ullah traded here </w:t>
      </w:r>
      <w:r w:rsidR="3420C61D" w:rsidRPr="3BDDE013">
        <w:rPr>
          <w:rFonts w:eastAsia="Arial" w:cs="Arial"/>
          <w:color w:val="000000" w:themeColor="text1"/>
        </w:rPr>
        <w:t>for approximately five years.</w:t>
      </w:r>
    </w:p>
    <w:p w14:paraId="6B50D078" w14:textId="55644332" w:rsidR="70742FA1" w:rsidRDefault="70742FA1" w:rsidP="3BDDE013">
      <w:pPr>
        <w:pStyle w:val="ListParagraph"/>
        <w:rPr>
          <w:rFonts w:eastAsia="Arial" w:cs="Arial"/>
          <w:color w:val="000000" w:themeColor="text1"/>
        </w:rPr>
      </w:pPr>
      <w:r w:rsidRPr="3BDDE013">
        <w:rPr>
          <w:rFonts w:eastAsia="Arial" w:cs="Arial"/>
          <w:color w:val="000000" w:themeColor="text1"/>
        </w:rPr>
        <w:t>The</w:t>
      </w:r>
      <w:r w:rsidR="7FB28524" w:rsidRPr="3BDDE013">
        <w:rPr>
          <w:rFonts w:eastAsia="Arial" w:cs="Arial"/>
          <w:color w:val="000000" w:themeColor="text1"/>
        </w:rPr>
        <w:t xml:space="preserve"> land is not in public ownership and so the applicant has secured the agreement of the landowner to position the trading unit on the land. </w:t>
      </w:r>
    </w:p>
    <w:p w14:paraId="547B6016" w14:textId="030917A6" w:rsidR="651AB716" w:rsidRDefault="2A0DCF51" w:rsidP="3BDDE013">
      <w:pPr>
        <w:pStyle w:val="ListParagraph"/>
        <w:numPr>
          <w:ilvl w:val="0"/>
          <w:numId w:val="0"/>
        </w:numPr>
        <w:spacing w:line="259" w:lineRule="auto"/>
        <w:ind w:left="426"/>
        <w:rPr>
          <w:rFonts w:eastAsia="Arial" w:cs="Arial"/>
          <w:b/>
          <w:bCs/>
          <w:color w:val="000000" w:themeColor="text1"/>
        </w:rPr>
      </w:pPr>
      <w:r w:rsidRPr="3BDDE013">
        <w:rPr>
          <w:rFonts w:eastAsia="Arial" w:cs="Arial"/>
          <w:b/>
          <w:bCs/>
          <w:color w:val="000000" w:themeColor="text1"/>
        </w:rPr>
        <w:t>Trading Times</w:t>
      </w:r>
    </w:p>
    <w:p w14:paraId="4853140E" w14:textId="6ABD3706" w:rsidR="651AB716" w:rsidRDefault="2A0DCF51" w:rsidP="3BDDE013">
      <w:pPr>
        <w:pStyle w:val="ListParagraph"/>
        <w:spacing w:line="259" w:lineRule="auto"/>
        <w:rPr>
          <w:rFonts w:eastAsia="Arial" w:cs="Arial"/>
          <w:color w:val="000000" w:themeColor="text1"/>
        </w:rPr>
      </w:pPr>
      <w:r w:rsidRPr="3BDDE013">
        <w:rPr>
          <w:rFonts w:eastAsia="Arial" w:cs="Arial"/>
          <w:color w:val="000000" w:themeColor="text1"/>
        </w:rPr>
        <w:t xml:space="preserve">Previously Mr Ullah traded </w:t>
      </w:r>
      <w:r w:rsidR="523A21F4" w:rsidRPr="3BDDE013">
        <w:rPr>
          <w:rFonts w:eastAsia="Arial" w:cs="Arial"/>
          <w:color w:val="000000" w:themeColor="text1"/>
        </w:rPr>
        <w:t xml:space="preserve">everyday 1100 – 1800, the new application represents a change in these hours. The application proposed trading between 1100 – 2200. </w:t>
      </w:r>
    </w:p>
    <w:p w14:paraId="39CA8726" w14:textId="362F4CC4" w:rsidR="651AB716" w:rsidRDefault="651AB716" w:rsidP="3BDDE013">
      <w:pPr>
        <w:tabs>
          <w:tab w:val="left" w:pos="426"/>
        </w:tabs>
        <w:spacing w:line="259" w:lineRule="auto"/>
        <w:rPr>
          <w:rFonts w:eastAsia="Arial" w:cs="Arial"/>
          <w:b/>
          <w:bCs/>
          <w:color w:val="000000" w:themeColor="text1"/>
        </w:rPr>
      </w:pPr>
      <w:r w:rsidRPr="3BDDE013">
        <w:rPr>
          <w:rFonts w:eastAsia="Arial" w:cs="Arial"/>
          <w:b/>
          <w:bCs/>
          <w:color w:val="000000" w:themeColor="text1"/>
        </w:rPr>
        <w:t xml:space="preserve">Consultation </w:t>
      </w:r>
    </w:p>
    <w:p w14:paraId="4530AF5B" w14:textId="14E04E0F" w:rsidR="651AB716" w:rsidRDefault="651AB716" w:rsidP="3BDDE013">
      <w:pPr>
        <w:pStyle w:val="ListParagraph"/>
        <w:spacing w:line="259" w:lineRule="auto"/>
        <w:rPr>
          <w:rFonts w:eastAsia="Arial" w:cs="Arial"/>
          <w:color w:val="000000" w:themeColor="text1"/>
        </w:rPr>
      </w:pPr>
      <w:r w:rsidRPr="3BDDE013">
        <w:rPr>
          <w:rFonts w:eastAsia="Arial" w:cs="Arial"/>
          <w:color w:val="000000" w:themeColor="text1"/>
        </w:rPr>
        <w:t>The consultation exercise</w:t>
      </w:r>
      <w:r w:rsidR="424A3722" w:rsidRPr="3BDDE013">
        <w:rPr>
          <w:rFonts w:eastAsia="Arial" w:cs="Arial"/>
          <w:color w:val="000000" w:themeColor="text1"/>
        </w:rPr>
        <w:t xml:space="preserve"> required by the Policy</w:t>
      </w:r>
      <w:r w:rsidRPr="3BDDE013">
        <w:rPr>
          <w:rFonts w:eastAsia="Arial" w:cs="Arial"/>
          <w:color w:val="000000" w:themeColor="text1"/>
        </w:rPr>
        <w:t xml:space="preserve"> was carried out</w:t>
      </w:r>
      <w:r w:rsidR="08630CEC" w:rsidRPr="3BDDE013">
        <w:rPr>
          <w:rFonts w:eastAsia="Arial" w:cs="Arial"/>
          <w:color w:val="000000" w:themeColor="text1"/>
        </w:rPr>
        <w:t xml:space="preserve">. </w:t>
      </w:r>
      <w:r w:rsidR="6E50F222" w:rsidRPr="3BDDE013">
        <w:rPr>
          <w:rFonts w:eastAsia="Arial" w:cs="Arial"/>
          <w:color w:val="000000" w:themeColor="text1"/>
        </w:rPr>
        <w:t xml:space="preserve">Thames Valley Police responded to state they have no objections to the proposal. </w:t>
      </w:r>
      <w:r w:rsidR="1682E9C1" w:rsidRPr="3BDDE013">
        <w:rPr>
          <w:rFonts w:eastAsia="Arial" w:cs="Arial"/>
          <w:color w:val="000000" w:themeColor="text1"/>
        </w:rPr>
        <w:t xml:space="preserve"> </w:t>
      </w:r>
    </w:p>
    <w:p w14:paraId="74D32A8F" w14:textId="47C8CECA" w:rsidR="1250235A" w:rsidRDefault="33A7B35C" w:rsidP="0F519E25">
      <w:pPr>
        <w:pStyle w:val="Heading1"/>
        <w:spacing w:line="259" w:lineRule="auto"/>
        <w:jc w:val="both"/>
      </w:pPr>
      <w:r>
        <w:t>Legislative Background</w:t>
      </w:r>
    </w:p>
    <w:p w14:paraId="3BADE60C" w14:textId="4513D53C" w:rsidR="1250235A" w:rsidRDefault="00B44A6F"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9. </w:t>
      </w:r>
      <w:r w:rsidR="33A7B35C" w:rsidRPr="54630F52">
        <w:rPr>
          <w:rFonts w:eastAsia="Arial" w:cs="Arial"/>
          <w:color w:val="000000" w:themeColor="text1"/>
        </w:rPr>
        <w:t>In 1986 the Council resolved that Schedule 4 to the Local Government (Miscellaneous Provisions) Act 1982 should apply to its area.  Under Schedule 4 the Council can manage street trading by designating streets as “consent streets”, “licence streets” or “prohibited streets”. All streets within Oxford are currently designated “consent streets” and any trading requires the grant of a street trading consent.  Street trading consent may be granted as the Council “thinks fit”.</w:t>
      </w:r>
    </w:p>
    <w:p w14:paraId="5243BF63" w14:textId="1BF31048" w:rsidR="1250235A" w:rsidRDefault="00B44A6F"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10. </w:t>
      </w:r>
      <w:r w:rsidR="33A7B35C" w:rsidRPr="54630F52">
        <w:rPr>
          <w:rFonts w:eastAsia="Arial" w:cs="Arial"/>
          <w:color w:val="000000" w:themeColor="text1"/>
        </w:rPr>
        <w:t>When exercising the power to grant and enforce consents the Sub</w:t>
      </w:r>
      <w:r>
        <w:rPr>
          <w:rFonts w:eastAsia="Arial" w:cs="Arial"/>
          <w:color w:val="000000" w:themeColor="text1"/>
        </w:rPr>
        <w:t>-c</w:t>
      </w:r>
      <w:r w:rsidR="33A7B35C" w:rsidRPr="54630F52">
        <w:rPr>
          <w:rFonts w:eastAsia="Arial" w:cs="Arial"/>
          <w:color w:val="000000" w:themeColor="text1"/>
        </w:rPr>
        <w:t xml:space="preserve">ommittee should only </w:t>
      </w:r>
      <w:proofErr w:type="gramStart"/>
      <w:r w:rsidR="33A7B35C" w:rsidRPr="54630F52">
        <w:rPr>
          <w:rFonts w:eastAsia="Arial" w:cs="Arial"/>
          <w:color w:val="000000" w:themeColor="text1"/>
        </w:rPr>
        <w:t>take into account</w:t>
      </w:r>
      <w:proofErr w:type="gramEnd"/>
      <w:r w:rsidR="33A7B35C" w:rsidRPr="54630F52">
        <w:rPr>
          <w:rFonts w:eastAsia="Arial" w:cs="Arial"/>
          <w:color w:val="000000" w:themeColor="text1"/>
        </w:rPr>
        <w:t xml:space="preserve"> relevant considerations, must give each applicant or consent holder a fair hearing and should give reasons for their decisions.</w:t>
      </w:r>
    </w:p>
    <w:p w14:paraId="6E890175" w14:textId="4472CB0F" w:rsidR="1250235A" w:rsidRDefault="00B44A6F"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11. </w:t>
      </w:r>
      <w:r w:rsidR="33A7B35C" w:rsidRPr="54630F52">
        <w:rPr>
          <w:rFonts w:eastAsia="Arial" w:cs="Arial"/>
          <w:color w:val="000000" w:themeColor="text1"/>
        </w:rPr>
        <w:t xml:space="preserve">Street </w:t>
      </w:r>
      <w:r>
        <w:rPr>
          <w:rFonts w:eastAsia="Arial" w:cs="Arial"/>
          <w:color w:val="000000" w:themeColor="text1"/>
        </w:rPr>
        <w:t>T</w:t>
      </w:r>
      <w:r w:rsidR="33A7B35C" w:rsidRPr="54630F52">
        <w:rPr>
          <w:rFonts w:eastAsia="Arial" w:cs="Arial"/>
          <w:color w:val="000000" w:themeColor="text1"/>
        </w:rPr>
        <w:t xml:space="preserve">rading </w:t>
      </w:r>
      <w:r>
        <w:rPr>
          <w:rFonts w:eastAsia="Arial" w:cs="Arial"/>
          <w:color w:val="000000" w:themeColor="text1"/>
        </w:rPr>
        <w:t>C</w:t>
      </w:r>
      <w:r w:rsidR="33A7B35C" w:rsidRPr="54630F52">
        <w:rPr>
          <w:rFonts w:eastAsia="Arial" w:cs="Arial"/>
          <w:color w:val="000000" w:themeColor="text1"/>
        </w:rPr>
        <w:t>onsent is granted subject to the Council’s standard conditions. The Sub Committee may amend or attach any additional conditions to a Consent it considers “reasonably necessary”.</w:t>
      </w:r>
      <w:r w:rsidR="1FE0A50B" w:rsidRPr="54630F52">
        <w:rPr>
          <w:rFonts w:eastAsia="Arial" w:cs="Arial"/>
          <w:color w:val="000000" w:themeColor="text1"/>
        </w:rPr>
        <w:t xml:space="preserve"> In this case the Council determined that a set of Special Conditions were reasonably necessary and so they were attached to the consent. </w:t>
      </w:r>
    </w:p>
    <w:p w14:paraId="1D6B5163" w14:textId="3AED1585" w:rsidR="1250235A" w:rsidRPr="0066681C" w:rsidRDefault="00B44A6F" w:rsidP="00473881">
      <w:pPr>
        <w:pStyle w:val="bParagraphtext"/>
        <w:numPr>
          <w:ilvl w:val="0"/>
          <w:numId w:val="0"/>
        </w:numPr>
        <w:ind w:left="360"/>
        <w:jc w:val="both"/>
        <w:rPr>
          <w:rFonts w:eastAsia="Arial" w:cs="Arial"/>
          <w:color w:val="000000" w:themeColor="text1"/>
        </w:rPr>
      </w:pPr>
      <w:r>
        <w:rPr>
          <w:rFonts w:eastAsia="Arial" w:cs="Arial"/>
          <w:color w:val="000000" w:themeColor="text1"/>
        </w:rPr>
        <w:lastRenderedPageBreak/>
        <w:t xml:space="preserve">12. </w:t>
      </w:r>
      <w:r w:rsidR="33A7B35C" w:rsidRPr="54630F52">
        <w:rPr>
          <w:rFonts w:eastAsia="Arial" w:cs="Arial"/>
          <w:color w:val="000000" w:themeColor="text1"/>
        </w:rPr>
        <w:t>Section 5 of the Oxford City Council Street Trading Policy 202</w:t>
      </w:r>
      <w:r w:rsidR="6F3F7BD7" w:rsidRPr="54630F52">
        <w:rPr>
          <w:rFonts w:eastAsia="Arial" w:cs="Arial"/>
          <w:color w:val="000000" w:themeColor="text1"/>
        </w:rPr>
        <w:t>4</w:t>
      </w:r>
      <w:r w:rsidR="33A7B35C" w:rsidRPr="54630F52">
        <w:rPr>
          <w:rFonts w:eastAsia="Arial" w:cs="Arial"/>
          <w:color w:val="000000" w:themeColor="text1"/>
        </w:rPr>
        <w:t xml:space="preserve"> </w:t>
      </w:r>
      <w:r w:rsidR="097D4077" w:rsidRPr="54630F52">
        <w:rPr>
          <w:rFonts w:eastAsia="Arial" w:cs="Arial"/>
          <w:color w:val="000000" w:themeColor="text1"/>
        </w:rPr>
        <w:t xml:space="preserve">describes the </w:t>
      </w:r>
      <w:r w:rsidR="33A7B35C" w:rsidRPr="54630F52">
        <w:rPr>
          <w:rFonts w:eastAsia="Arial" w:cs="Arial"/>
          <w:color w:val="000000" w:themeColor="text1"/>
        </w:rPr>
        <w:t>scheme of delegation for Street Trading Consent</w:t>
      </w:r>
      <w:r w:rsidR="77026D66" w:rsidRPr="54630F52">
        <w:rPr>
          <w:rFonts w:eastAsia="Arial" w:cs="Arial"/>
          <w:color w:val="000000" w:themeColor="text1"/>
        </w:rPr>
        <w:t xml:space="preserve">s and </w:t>
      </w:r>
      <w:r w:rsidR="7716A7DC" w:rsidRPr="54630F52">
        <w:rPr>
          <w:rFonts w:eastAsia="Arial" w:cs="Arial"/>
          <w:color w:val="000000" w:themeColor="text1"/>
        </w:rPr>
        <w:t>gives the General Purposes Licensing Case Work Sub</w:t>
      </w:r>
      <w:r>
        <w:rPr>
          <w:rFonts w:eastAsia="Arial" w:cs="Arial"/>
          <w:color w:val="000000" w:themeColor="text1"/>
        </w:rPr>
        <w:t>-</w:t>
      </w:r>
      <w:r w:rsidR="7716A7DC" w:rsidRPr="54630F52">
        <w:rPr>
          <w:rFonts w:eastAsia="Arial" w:cs="Arial"/>
          <w:color w:val="000000" w:themeColor="text1"/>
        </w:rPr>
        <w:t xml:space="preserve">committee </w:t>
      </w:r>
      <w:r w:rsidR="77026D66" w:rsidRPr="54630F52">
        <w:rPr>
          <w:rFonts w:eastAsia="Arial" w:cs="Arial"/>
          <w:color w:val="000000" w:themeColor="text1"/>
        </w:rPr>
        <w:t xml:space="preserve">responsibility for determination of </w:t>
      </w:r>
      <w:r w:rsidR="22AAD03A" w:rsidRPr="54630F52">
        <w:rPr>
          <w:rFonts w:eastAsia="Arial" w:cs="Arial"/>
          <w:color w:val="000000" w:themeColor="text1"/>
        </w:rPr>
        <w:t xml:space="preserve">cases referred by the </w:t>
      </w:r>
      <w:r w:rsidR="732D21A8" w:rsidRPr="54630F52">
        <w:rPr>
          <w:rFonts w:eastAsia="Arial" w:cs="Arial"/>
          <w:color w:val="000000" w:themeColor="text1"/>
        </w:rPr>
        <w:t>Director</w:t>
      </w:r>
      <w:r w:rsidR="6F85C2EC" w:rsidRPr="54630F52">
        <w:rPr>
          <w:rFonts w:eastAsia="Arial" w:cs="Arial"/>
          <w:color w:val="000000" w:themeColor="text1"/>
        </w:rPr>
        <w:t xml:space="preserve"> of Planning and Regulation</w:t>
      </w:r>
      <w:r>
        <w:rPr>
          <w:rFonts w:eastAsia="Arial" w:cs="Arial"/>
          <w:color w:val="000000" w:themeColor="text1"/>
        </w:rPr>
        <w:t>.</w:t>
      </w:r>
      <w:r w:rsidR="6F85C2EC" w:rsidRPr="54630F52">
        <w:rPr>
          <w:rFonts w:eastAsia="Arial" w:cs="Arial"/>
          <w:color w:val="000000" w:themeColor="text1"/>
        </w:rPr>
        <w:t xml:space="preserve">     </w:t>
      </w:r>
    </w:p>
    <w:p w14:paraId="6EE7F099" w14:textId="02E4C99B" w:rsidR="1250235A" w:rsidRDefault="00B44A6F"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13. </w:t>
      </w:r>
      <w:r w:rsidR="33A7B35C" w:rsidRPr="54630F52">
        <w:rPr>
          <w:rFonts w:eastAsia="Arial" w:cs="Arial"/>
          <w:color w:val="000000" w:themeColor="text1"/>
        </w:rPr>
        <w:t xml:space="preserve">Street Trading regulatory matters are </w:t>
      </w:r>
      <w:proofErr w:type="gramStart"/>
      <w:r>
        <w:rPr>
          <w:rFonts w:eastAsia="Arial" w:cs="Arial"/>
          <w:color w:val="000000" w:themeColor="text1"/>
        </w:rPr>
        <w:t xml:space="preserve">determined </w:t>
      </w:r>
      <w:r w:rsidR="33A7B35C" w:rsidRPr="54630F52">
        <w:rPr>
          <w:rFonts w:eastAsia="Arial" w:cs="Arial"/>
          <w:color w:val="000000" w:themeColor="text1"/>
        </w:rPr>
        <w:t xml:space="preserve"> on</w:t>
      </w:r>
      <w:proofErr w:type="gramEnd"/>
      <w:r w:rsidR="33A7B35C" w:rsidRPr="54630F52">
        <w:rPr>
          <w:rFonts w:eastAsia="Arial" w:cs="Arial"/>
          <w:color w:val="000000" w:themeColor="text1"/>
        </w:rPr>
        <w:t xml:space="preserve"> behalf of the </w:t>
      </w:r>
      <w:r w:rsidR="39048287" w:rsidRPr="54630F52">
        <w:rPr>
          <w:rFonts w:eastAsia="Arial" w:cs="Arial"/>
          <w:color w:val="000000" w:themeColor="text1"/>
        </w:rPr>
        <w:t xml:space="preserve">Director </w:t>
      </w:r>
      <w:r w:rsidR="33A7B35C" w:rsidRPr="54630F52">
        <w:rPr>
          <w:rFonts w:eastAsia="Arial" w:cs="Arial"/>
          <w:color w:val="000000" w:themeColor="text1"/>
        </w:rPr>
        <w:t>of Planning and Regulat</w:t>
      </w:r>
      <w:r w:rsidR="7614027C" w:rsidRPr="54630F52">
        <w:rPr>
          <w:rFonts w:eastAsia="Arial" w:cs="Arial"/>
          <w:color w:val="000000" w:themeColor="text1"/>
        </w:rPr>
        <w:t>ion</w:t>
      </w:r>
      <w:r w:rsidR="33A7B35C" w:rsidRPr="54630F52">
        <w:rPr>
          <w:rFonts w:eastAsia="Arial" w:cs="Arial"/>
          <w:color w:val="000000" w:themeColor="text1"/>
        </w:rPr>
        <w:t xml:space="preserve"> by the Business Regulation Team (BRT).</w:t>
      </w:r>
    </w:p>
    <w:p w14:paraId="655234E2" w14:textId="4DE926C6" w:rsidR="1DB3E655" w:rsidRDefault="00B44A6F"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14. </w:t>
      </w:r>
      <w:r w:rsidR="1DB3E655" w:rsidRPr="54630F52">
        <w:rPr>
          <w:rFonts w:eastAsia="Arial" w:cs="Arial"/>
          <w:color w:val="000000" w:themeColor="text1"/>
        </w:rPr>
        <w:t xml:space="preserve">A person </w:t>
      </w:r>
      <w:r w:rsidR="633A34D4" w:rsidRPr="54630F52">
        <w:rPr>
          <w:rFonts w:eastAsia="Arial" w:cs="Arial"/>
          <w:color w:val="000000" w:themeColor="text1"/>
        </w:rPr>
        <w:t>Street trading without the</w:t>
      </w:r>
      <w:r w:rsidR="075D75FE" w:rsidRPr="54630F52">
        <w:rPr>
          <w:rFonts w:eastAsia="Arial" w:cs="Arial"/>
          <w:color w:val="000000" w:themeColor="text1"/>
        </w:rPr>
        <w:t xml:space="preserve"> necessary</w:t>
      </w:r>
      <w:r w:rsidR="633A34D4" w:rsidRPr="54630F52">
        <w:rPr>
          <w:rFonts w:eastAsia="Arial" w:cs="Arial"/>
          <w:color w:val="000000" w:themeColor="text1"/>
        </w:rPr>
        <w:t xml:space="preserve"> consent </w:t>
      </w:r>
      <w:r w:rsidR="3F85F91E" w:rsidRPr="54630F52">
        <w:rPr>
          <w:rFonts w:eastAsia="Arial" w:cs="Arial"/>
          <w:color w:val="000000" w:themeColor="text1"/>
        </w:rPr>
        <w:t>is liable</w:t>
      </w:r>
      <w:r w:rsidR="633A34D4" w:rsidRPr="54630F52">
        <w:rPr>
          <w:rFonts w:eastAsia="Arial" w:cs="Arial"/>
          <w:color w:val="000000" w:themeColor="text1"/>
        </w:rPr>
        <w:t xml:space="preserve"> upon </w:t>
      </w:r>
      <w:r w:rsidR="7053A602" w:rsidRPr="54630F52">
        <w:rPr>
          <w:rFonts w:eastAsia="Arial" w:cs="Arial"/>
          <w:color w:val="000000" w:themeColor="text1"/>
        </w:rPr>
        <w:t xml:space="preserve">summary </w:t>
      </w:r>
      <w:r w:rsidR="633A34D4" w:rsidRPr="54630F52">
        <w:rPr>
          <w:rFonts w:eastAsia="Arial" w:cs="Arial"/>
          <w:color w:val="000000" w:themeColor="text1"/>
        </w:rPr>
        <w:t>conviction</w:t>
      </w:r>
      <w:r w:rsidR="1FCEBFA1" w:rsidRPr="54630F52">
        <w:rPr>
          <w:rFonts w:eastAsia="Arial" w:cs="Arial"/>
          <w:color w:val="000000" w:themeColor="text1"/>
        </w:rPr>
        <w:t xml:space="preserve"> for each offence</w:t>
      </w:r>
      <w:r w:rsidR="25E709E9" w:rsidRPr="54630F52">
        <w:rPr>
          <w:rFonts w:eastAsia="Arial" w:cs="Arial"/>
          <w:color w:val="000000" w:themeColor="text1"/>
        </w:rPr>
        <w:t xml:space="preserve"> to a fine</w:t>
      </w:r>
      <w:r w:rsidR="116824CF" w:rsidRPr="54630F52">
        <w:rPr>
          <w:rFonts w:eastAsia="Arial" w:cs="Arial"/>
          <w:color w:val="000000" w:themeColor="text1"/>
        </w:rPr>
        <w:t xml:space="preserve"> not</w:t>
      </w:r>
      <w:r w:rsidR="25E709E9" w:rsidRPr="54630F52">
        <w:rPr>
          <w:rFonts w:eastAsia="Arial" w:cs="Arial"/>
          <w:color w:val="000000" w:themeColor="text1"/>
        </w:rPr>
        <w:t xml:space="preserve"> exceeding level three on the standard scale. </w:t>
      </w:r>
      <w:r w:rsidR="7C9498C3" w:rsidRPr="54630F52">
        <w:rPr>
          <w:rFonts w:eastAsia="Arial" w:cs="Arial"/>
          <w:color w:val="000000" w:themeColor="text1"/>
        </w:rPr>
        <w:t xml:space="preserve">Level three is currently set at £1000. </w:t>
      </w:r>
    </w:p>
    <w:p w14:paraId="56B43441" w14:textId="01D21114" w:rsidR="5C428A2A" w:rsidRDefault="0E03A6BB" w:rsidP="0F519E25">
      <w:pPr>
        <w:pStyle w:val="Heading1"/>
        <w:jc w:val="both"/>
        <w:rPr>
          <w:rFonts w:eastAsia="Arial" w:cs="Arial"/>
          <w:b w:val="0"/>
          <w:color w:val="000000" w:themeColor="text1"/>
        </w:rPr>
      </w:pPr>
      <w:r>
        <w:t>Options</w:t>
      </w:r>
    </w:p>
    <w:p w14:paraId="15BD9EBC" w14:textId="30525E3D" w:rsidR="5C428A2A" w:rsidRDefault="0E03A6BB" w:rsidP="00BF3872">
      <w:pPr>
        <w:pStyle w:val="bParagraphtext"/>
        <w:numPr>
          <w:ilvl w:val="0"/>
          <w:numId w:val="2"/>
        </w:numPr>
        <w:jc w:val="both"/>
        <w:rPr>
          <w:rFonts w:eastAsia="Arial" w:cs="Arial"/>
          <w:color w:val="000000" w:themeColor="text1"/>
        </w:rPr>
      </w:pPr>
      <w:r w:rsidRPr="54630F52">
        <w:rPr>
          <w:rFonts w:eastAsia="Arial" w:cs="Arial"/>
          <w:color w:val="000000" w:themeColor="text1"/>
        </w:rPr>
        <w:t>The</w:t>
      </w:r>
      <w:r w:rsidR="00B44A6F">
        <w:rPr>
          <w:rFonts w:eastAsia="Arial" w:cs="Arial"/>
          <w:color w:val="000000" w:themeColor="text1"/>
        </w:rPr>
        <w:t xml:space="preserve"> options before the</w:t>
      </w:r>
      <w:r w:rsidRPr="54630F52">
        <w:rPr>
          <w:rFonts w:eastAsia="Arial" w:cs="Arial"/>
          <w:color w:val="000000" w:themeColor="text1"/>
        </w:rPr>
        <w:t xml:space="preserve"> </w:t>
      </w:r>
      <w:r w:rsidR="00B44A6F">
        <w:rPr>
          <w:rFonts w:eastAsia="Arial" w:cs="Arial"/>
          <w:color w:val="000000" w:themeColor="text1"/>
        </w:rPr>
        <w:t>S</w:t>
      </w:r>
      <w:r w:rsidRPr="54630F52">
        <w:rPr>
          <w:rFonts w:eastAsia="Arial" w:cs="Arial"/>
          <w:color w:val="000000" w:themeColor="text1"/>
        </w:rPr>
        <w:t>ub</w:t>
      </w:r>
      <w:r w:rsidR="00B44A6F">
        <w:rPr>
          <w:rFonts w:eastAsia="Arial" w:cs="Arial"/>
          <w:color w:val="000000" w:themeColor="text1"/>
        </w:rPr>
        <w:t>-</w:t>
      </w:r>
      <w:r w:rsidRPr="54630F52">
        <w:rPr>
          <w:rFonts w:eastAsia="Arial" w:cs="Arial"/>
          <w:color w:val="000000" w:themeColor="text1"/>
        </w:rPr>
        <w:t>committee</w:t>
      </w:r>
      <w:r w:rsidR="00B44A6F">
        <w:rPr>
          <w:rFonts w:eastAsia="Arial" w:cs="Arial"/>
          <w:color w:val="000000" w:themeColor="text1"/>
        </w:rPr>
        <w:t xml:space="preserve"> are:</w:t>
      </w:r>
      <w:r w:rsidRPr="54630F52">
        <w:rPr>
          <w:rFonts w:eastAsia="Arial" w:cs="Arial"/>
          <w:color w:val="000000" w:themeColor="text1"/>
        </w:rPr>
        <w:t xml:space="preserve"> </w:t>
      </w:r>
    </w:p>
    <w:p w14:paraId="2F7DD13A" w14:textId="33B3737F" w:rsidR="1B92184E" w:rsidRDefault="00B44A6F" w:rsidP="00BF3872">
      <w:pPr>
        <w:pStyle w:val="bParagraphtext"/>
        <w:numPr>
          <w:ilvl w:val="1"/>
          <w:numId w:val="2"/>
        </w:numPr>
        <w:jc w:val="both"/>
        <w:rPr>
          <w:rFonts w:eastAsia="Arial" w:cs="Arial"/>
          <w:color w:val="000000" w:themeColor="text1"/>
        </w:rPr>
      </w:pPr>
      <w:r>
        <w:rPr>
          <w:rFonts w:eastAsia="Arial" w:cs="Arial"/>
          <w:color w:val="000000" w:themeColor="text1"/>
        </w:rPr>
        <w:t xml:space="preserve">To grant the Street Trading Consent; or </w:t>
      </w:r>
    </w:p>
    <w:p w14:paraId="2B8F5BF3" w14:textId="1055A361" w:rsidR="3B389D12" w:rsidRDefault="00B44A6F" w:rsidP="00BF3872">
      <w:pPr>
        <w:pStyle w:val="bParagraphtext"/>
        <w:numPr>
          <w:ilvl w:val="1"/>
          <w:numId w:val="2"/>
        </w:numPr>
        <w:jc w:val="both"/>
      </w:pPr>
      <w:r>
        <w:t xml:space="preserve">To grant the Street Trading Consent with the imposition of additional conditions other than those </w:t>
      </w:r>
      <w:r w:rsidR="00CD27A1">
        <w:t xml:space="preserve">contained within the Policy; or </w:t>
      </w:r>
    </w:p>
    <w:p w14:paraId="3383E5EF" w14:textId="5023CBF4" w:rsidR="00CD27A1" w:rsidRDefault="00CD27A1" w:rsidP="00BF3872">
      <w:pPr>
        <w:pStyle w:val="bParagraphtext"/>
        <w:numPr>
          <w:ilvl w:val="1"/>
          <w:numId w:val="2"/>
        </w:numPr>
        <w:jc w:val="both"/>
      </w:pPr>
      <w:r>
        <w:t>To refuse the application for a Street Trading Consent.</w:t>
      </w:r>
    </w:p>
    <w:p w14:paraId="04A0DFEC" w14:textId="532CF32E" w:rsidR="54630F52" w:rsidRDefault="54630F52" w:rsidP="54630F52">
      <w:pPr>
        <w:pStyle w:val="bParagraphtext"/>
        <w:numPr>
          <w:ilvl w:val="0"/>
          <w:numId w:val="0"/>
        </w:numPr>
        <w:ind w:left="1080"/>
        <w:jc w:val="both"/>
        <w:rPr>
          <w:rFonts w:eastAsia="Arial" w:cs="Arial"/>
          <w:color w:val="000000" w:themeColor="text1"/>
        </w:rPr>
      </w:pPr>
    </w:p>
    <w:p w14:paraId="11308776" w14:textId="77777777" w:rsidR="0040736F" w:rsidRPr="002B6836" w:rsidRDefault="2464FE59" w:rsidP="0F519E25">
      <w:pPr>
        <w:pStyle w:val="Heading1"/>
        <w:jc w:val="both"/>
      </w:pPr>
      <w:r>
        <w:t>Financial implications</w:t>
      </w:r>
    </w:p>
    <w:p w14:paraId="0DC981BA" w14:textId="40696720" w:rsidR="00E87F7A" w:rsidRPr="001356F1" w:rsidRDefault="00CD27A1" w:rsidP="00473881">
      <w:pPr>
        <w:pStyle w:val="ListParagraph"/>
        <w:numPr>
          <w:ilvl w:val="0"/>
          <w:numId w:val="0"/>
        </w:numPr>
        <w:ind w:left="426"/>
        <w:jc w:val="both"/>
        <w:rPr>
          <w:rStyle w:val="bParagraphtextChar"/>
          <w:b/>
        </w:rPr>
      </w:pPr>
      <w:r>
        <w:rPr>
          <w:rStyle w:val="bParagraphtextChar"/>
        </w:rPr>
        <w:t xml:space="preserve">16. </w:t>
      </w:r>
      <w:r w:rsidR="3849889C" w:rsidRPr="107AA0CE">
        <w:rPr>
          <w:rStyle w:val="bParagraphtextChar"/>
        </w:rPr>
        <w:t xml:space="preserve">The Council collects fees for Street Trading Consents. </w:t>
      </w:r>
      <w:proofErr w:type="gramStart"/>
      <w:r>
        <w:rPr>
          <w:rStyle w:val="bParagraphtextChar"/>
        </w:rPr>
        <w:t xml:space="preserve">Estimated </w:t>
      </w:r>
      <w:r w:rsidR="3849889C" w:rsidRPr="107AA0CE">
        <w:rPr>
          <w:rStyle w:val="bParagraphtextChar"/>
        </w:rPr>
        <w:t xml:space="preserve"> income</w:t>
      </w:r>
      <w:proofErr w:type="gramEnd"/>
      <w:r w:rsidR="3849889C" w:rsidRPr="107AA0CE">
        <w:rPr>
          <w:rStyle w:val="bParagraphtextChar"/>
        </w:rPr>
        <w:t xml:space="preserve"> from Consent fees are included in the Council’s budget</w:t>
      </w:r>
      <w:r w:rsidR="6AD4712B" w:rsidRPr="107AA0CE">
        <w:rPr>
          <w:rStyle w:val="bParagraphtextChar"/>
        </w:rPr>
        <w:t xml:space="preserve">. </w:t>
      </w:r>
    </w:p>
    <w:p w14:paraId="06827778" w14:textId="77777777" w:rsidR="0040736F" w:rsidRPr="001356F1" w:rsidRDefault="5F3FA313" w:rsidP="0F519E25">
      <w:pPr>
        <w:pStyle w:val="Heading1"/>
        <w:jc w:val="both"/>
      </w:pPr>
      <w:r>
        <w:t>Legal issues</w:t>
      </w:r>
    </w:p>
    <w:p w14:paraId="5F42A8F1" w14:textId="4463D41C" w:rsidR="00F67F85" w:rsidRDefault="00CD27A1"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17. </w:t>
      </w:r>
      <w:r w:rsidR="0F519E25" w:rsidRPr="54630F52">
        <w:rPr>
          <w:rFonts w:eastAsia="Arial" w:cs="Arial"/>
          <w:color w:val="000000" w:themeColor="text1"/>
        </w:rPr>
        <w:t>The Sub</w:t>
      </w:r>
      <w:r>
        <w:rPr>
          <w:rFonts w:eastAsia="Arial" w:cs="Arial"/>
          <w:color w:val="000000" w:themeColor="text1"/>
        </w:rPr>
        <w:t>-c</w:t>
      </w:r>
      <w:r w:rsidR="0F519E25" w:rsidRPr="54630F52">
        <w:rPr>
          <w:rFonts w:eastAsia="Arial" w:cs="Arial"/>
          <w:color w:val="000000" w:themeColor="text1"/>
        </w:rPr>
        <w:t>ommittee may grant a Street Trading Consent if it ‘thinks fit’.  Consent may be revoked at any time.  A street trader cannot be said to enjoy security of tenure and there is no requirement for the Council to give compensation for the loss of any Consent (other than any refund of Consent fees paid in advance).  However, any decision to refuse an application or terminate Street Trading Consents may be subject to a judicial review</w:t>
      </w:r>
      <w:r>
        <w:rPr>
          <w:rFonts w:eastAsia="Arial" w:cs="Arial"/>
          <w:color w:val="000000" w:themeColor="text1"/>
        </w:rPr>
        <w:t xml:space="preserve"> challenge</w:t>
      </w:r>
      <w:r w:rsidR="0F519E25" w:rsidRPr="54630F52">
        <w:rPr>
          <w:rFonts w:eastAsia="Arial" w:cs="Arial"/>
          <w:color w:val="000000" w:themeColor="text1"/>
        </w:rPr>
        <w:t xml:space="preserve"> and if</w:t>
      </w:r>
      <w:r>
        <w:rPr>
          <w:rFonts w:eastAsia="Arial" w:cs="Arial"/>
          <w:color w:val="000000" w:themeColor="text1"/>
        </w:rPr>
        <w:t xml:space="preserve"> the refusal is</w:t>
      </w:r>
      <w:r w:rsidR="0F519E25" w:rsidRPr="54630F52">
        <w:rPr>
          <w:rFonts w:eastAsia="Arial" w:cs="Arial"/>
          <w:color w:val="000000" w:themeColor="text1"/>
        </w:rPr>
        <w:t xml:space="preserve"> held to be unreasonable</w:t>
      </w:r>
      <w:r>
        <w:rPr>
          <w:rFonts w:eastAsia="Arial" w:cs="Arial"/>
          <w:color w:val="000000" w:themeColor="text1"/>
        </w:rPr>
        <w:t xml:space="preserve"> or unlawful </w:t>
      </w:r>
      <w:r w:rsidR="0F519E25" w:rsidRPr="54630F52">
        <w:rPr>
          <w:rFonts w:eastAsia="Arial" w:cs="Arial"/>
          <w:color w:val="000000" w:themeColor="text1"/>
        </w:rPr>
        <w:t>then</w:t>
      </w:r>
      <w:r>
        <w:rPr>
          <w:rFonts w:eastAsia="Arial" w:cs="Arial"/>
          <w:color w:val="000000" w:themeColor="text1"/>
        </w:rPr>
        <w:t xml:space="preserve"> the Court could award damages to the applicant.</w:t>
      </w:r>
    </w:p>
    <w:p w14:paraId="404F138A" w14:textId="1DC3952F" w:rsidR="2ADC353F" w:rsidRPr="00F67F85" w:rsidRDefault="00CD27A1" w:rsidP="00473881">
      <w:pPr>
        <w:pStyle w:val="bParagraphtext"/>
        <w:numPr>
          <w:ilvl w:val="0"/>
          <w:numId w:val="0"/>
        </w:numPr>
        <w:ind w:left="360"/>
        <w:jc w:val="both"/>
        <w:rPr>
          <w:rFonts w:eastAsia="Arial" w:cs="Arial"/>
          <w:color w:val="000000" w:themeColor="text1"/>
        </w:rPr>
      </w:pPr>
      <w:r>
        <w:rPr>
          <w:rFonts w:eastAsia="Arial" w:cs="Arial"/>
          <w:color w:val="000000" w:themeColor="text1"/>
        </w:rPr>
        <w:t xml:space="preserve">18. </w:t>
      </w:r>
      <w:r w:rsidR="7F992080" w:rsidRPr="54630F52">
        <w:rPr>
          <w:rFonts w:eastAsia="Arial" w:cs="Arial"/>
          <w:color w:val="000000" w:themeColor="text1"/>
        </w:rPr>
        <w:t xml:space="preserve">Any determination of an application for Consent must be proportionate </w:t>
      </w:r>
      <w:proofErr w:type="gramStart"/>
      <w:r w:rsidR="7F992080" w:rsidRPr="54630F52">
        <w:rPr>
          <w:rFonts w:eastAsia="Arial" w:cs="Arial"/>
          <w:color w:val="000000" w:themeColor="text1"/>
        </w:rPr>
        <w:t>taking into account</w:t>
      </w:r>
      <w:proofErr w:type="gramEnd"/>
      <w:r w:rsidR="7F992080" w:rsidRPr="54630F52">
        <w:rPr>
          <w:rFonts w:eastAsia="Arial" w:cs="Arial"/>
          <w:color w:val="000000" w:themeColor="text1"/>
        </w:rPr>
        <w:t xml:space="preserve"> all relevant circumstances and the Consent holder’s right to a fair hearing.  A consent should not be revoked or altered arbitrarily and without clear reason.</w:t>
      </w:r>
    </w:p>
    <w:p w14:paraId="300E8470" w14:textId="6448D775" w:rsidR="48A5A095" w:rsidRDefault="4B1707BE" w:rsidP="0F519E25">
      <w:pPr>
        <w:pStyle w:val="Heading1"/>
        <w:spacing w:line="259" w:lineRule="auto"/>
        <w:jc w:val="both"/>
      </w:pPr>
      <w:r>
        <w:t>Policy Considerations</w:t>
      </w:r>
    </w:p>
    <w:p w14:paraId="5A8F0D65" w14:textId="6E09D980" w:rsidR="0066681C" w:rsidRPr="0066681C" w:rsidRDefault="00CD27A1" w:rsidP="00473881">
      <w:pPr>
        <w:pStyle w:val="bParagraphtext"/>
        <w:numPr>
          <w:ilvl w:val="0"/>
          <w:numId w:val="0"/>
        </w:numPr>
        <w:ind w:left="360"/>
        <w:jc w:val="both"/>
        <w:rPr>
          <w:rFonts w:cs="Arial"/>
          <w:color w:val="000000" w:themeColor="text1"/>
        </w:rPr>
      </w:pPr>
      <w:r>
        <w:rPr>
          <w:rFonts w:cs="Arial"/>
          <w:color w:val="000000" w:themeColor="text1"/>
        </w:rPr>
        <w:t xml:space="preserve">19. </w:t>
      </w:r>
      <w:r w:rsidR="4B1707BE" w:rsidRPr="54630F52">
        <w:rPr>
          <w:rFonts w:cs="Arial"/>
          <w:color w:val="000000" w:themeColor="text1"/>
        </w:rPr>
        <w:t>The following Policy points are of relevance in this matter:</w:t>
      </w:r>
    </w:p>
    <w:p w14:paraId="0E485A68" w14:textId="77777777" w:rsidR="0066681C" w:rsidRPr="0066681C" w:rsidRDefault="4B1707BE" w:rsidP="00BF3872">
      <w:pPr>
        <w:pStyle w:val="bParagraphtext"/>
        <w:numPr>
          <w:ilvl w:val="1"/>
          <w:numId w:val="1"/>
        </w:numPr>
        <w:jc w:val="both"/>
        <w:rPr>
          <w:rFonts w:cs="Arial"/>
          <w:color w:val="000000" w:themeColor="text1"/>
        </w:rPr>
      </w:pPr>
      <w:r w:rsidRPr="54630F52">
        <w:rPr>
          <w:rFonts w:cs="Arial"/>
          <w:i/>
          <w:iCs/>
          <w:color w:val="000000" w:themeColor="text1"/>
        </w:rPr>
        <w:t xml:space="preserve">8.1: When determining an application for the grant or renewal of a Consent, the council will consider all relevant information relating to the suitability of the applicant and any employees </w:t>
      </w:r>
    </w:p>
    <w:p w14:paraId="6D6B1E74" w14:textId="44CD121C" w:rsidR="06F352A0" w:rsidRDefault="06F352A0" w:rsidP="00BF3872">
      <w:pPr>
        <w:pStyle w:val="bParagraphtext"/>
        <w:numPr>
          <w:ilvl w:val="1"/>
          <w:numId w:val="1"/>
        </w:numPr>
        <w:jc w:val="both"/>
        <w:rPr>
          <w:i/>
          <w:iCs/>
          <w:color w:val="auto"/>
        </w:rPr>
      </w:pPr>
      <w:r w:rsidRPr="54630F52">
        <w:rPr>
          <w:rFonts w:ascii="Helvetica" w:eastAsia="Helvetica" w:hAnsi="Helvetica" w:cs="Helvetica"/>
          <w:i/>
          <w:iCs/>
          <w:color w:val="auto"/>
        </w:rPr>
        <w:t>8.2</w:t>
      </w:r>
      <w:r w:rsidR="00CD27A1">
        <w:rPr>
          <w:rFonts w:ascii="Helvetica" w:eastAsia="Helvetica" w:hAnsi="Helvetica" w:cs="Helvetica"/>
          <w:i/>
          <w:iCs/>
          <w:color w:val="auto"/>
        </w:rPr>
        <w:t xml:space="preserve">: </w:t>
      </w:r>
      <w:r w:rsidRPr="54630F52">
        <w:rPr>
          <w:rFonts w:ascii="Helvetica" w:eastAsia="Helvetica" w:hAnsi="Helvetica" w:cs="Helvetica"/>
          <w:i/>
          <w:iCs/>
          <w:color w:val="auto"/>
        </w:rPr>
        <w:t>The Business Regulation Team aims to work closely with other enforcement authorities to regulate relevant legislation where necessary.</w:t>
      </w:r>
    </w:p>
    <w:p w14:paraId="45565F26" w14:textId="308EA97E" w:rsidR="0066681C" w:rsidRPr="0066681C" w:rsidRDefault="1C616F04" w:rsidP="00BF3872">
      <w:pPr>
        <w:pStyle w:val="bParagraphtext"/>
        <w:numPr>
          <w:ilvl w:val="1"/>
          <w:numId w:val="1"/>
        </w:numPr>
        <w:jc w:val="both"/>
        <w:rPr>
          <w:rFonts w:cs="Arial"/>
          <w:color w:val="000000" w:themeColor="text1"/>
        </w:rPr>
      </w:pPr>
      <w:r w:rsidRPr="54630F52">
        <w:rPr>
          <w:rFonts w:cs="Arial"/>
          <w:i/>
          <w:iCs/>
        </w:rPr>
        <w:t>11.3</w:t>
      </w:r>
      <w:r w:rsidR="00CD27A1">
        <w:rPr>
          <w:rFonts w:cs="Arial"/>
          <w:i/>
          <w:iCs/>
        </w:rPr>
        <w:t>:</w:t>
      </w:r>
      <w:r w:rsidRPr="54630F52">
        <w:rPr>
          <w:rFonts w:cs="Arial"/>
          <w:i/>
          <w:iCs/>
        </w:rPr>
        <w:t xml:space="preserve"> At renewal, the Council may take into consideration any relevant information about the trading operation</w:t>
      </w:r>
    </w:p>
    <w:p w14:paraId="0B9EB1FE" w14:textId="4064DA99" w:rsidR="0066681C" w:rsidRPr="0066681C" w:rsidRDefault="1C616F04" w:rsidP="00BF3872">
      <w:pPr>
        <w:pStyle w:val="bParagraphtext"/>
        <w:numPr>
          <w:ilvl w:val="1"/>
          <w:numId w:val="1"/>
        </w:numPr>
        <w:jc w:val="both"/>
        <w:rPr>
          <w:rFonts w:cs="Arial"/>
          <w:color w:val="000000" w:themeColor="text1"/>
        </w:rPr>
      </w:pPr>
      <w:r w:rsidRPr="54630F52">
        <w:rPr>
          <w:rFonts w:cs="Arial"/>
          <w:i/>
          <w:iCs/>
        </w:rPr>
        <w:lastRenderedPageBreak/>
        <w:t>11.4</w:t>
      </w:r>
      <w:r w:rsidR="00CD27A1">
        <w:rPr>
          <w:rFonts w:cs="Arial"/>
          <w:i/>
          <w:iCs/>
        </w:rPr>
        <w:t>:</w:t>
      </w:r>
      <w:r w:rsidRPr="54630F52">
        <w:rPr>
          <w:rFonts w:cs="Arial"/>
          <w:i/>
          <w:iCs/>
        </w:rPr>
        <w:t xml:space="preserve"> Where a renewal application has been made and there have been complaints or enforcement issues or fees have not been paid on time, then the application may be referred to the General Purposes Licensing Casework Sub-Committee.</w:t>
      </w:r>
    </w:p>
    <w:p w14:paraId="35651840" w14:textId="79995D56" w:rsidR="48A5A095" w:rsidRPr="0066681C" w:rsidRDefault="4B1707BE" w:rsidP="00BF3872">
      <w:pPr>
        <w:pStyle w:val="bParagraphtext"/>
        <w:numPr>
          <w:ilvl w:val="1"/>
          <w:numId w:val="1"/>
        </w:numPr>
        <w:jc w:val="both"/>
        <w:rPr>
          <w:rFonts w:cs="Arial"/>
          <w:color w:val="000000" w:themeColor="text1"/>
        </w:rPr>
      </w:pPr>
      <w:r w:rsidRPr="54630F52">
        <w:rPr>
          <w:rFonts w:cs="Arial"/>
          <w:i/>
          <w:iCs/>
          <w:color w:val="000000" w:themeColor="text1"/>
        </w:rPr>
        <w:t>19.1: The Council may revoke a Street Trading Consent at any time, on any reasonable grounds. This may be for a variety of reasons including breach of conditions, non-payment of fees or when the site location is no longer suitable/accessible e.g. due to emergency repairs in the street or construction /redevelopment work.</w:t>
      </w:r>
    </w:p>
    <w:p w14:paraId="5516D3D7" w14:textId="4B5BA5D5" w:rsidR="034B8E6A" w:rsidRDefault="034B8E6A" w:rsidP="00BF3872">
      <w:pPr>
        <w:pStyle w:val="bParagraphtext"/>
        <w:numPr>
          <w:ilvl w:val="1"/>
          <w:numId w:val="1"/>
        </w:numPr>
        <w:jc w:val="both"/>
        <w:rPr>
          <w:i/>
          <w:iCs/>
          <w:color w:val="auto"/>
        </w:rPr>
      </w:pPr>
      <w:r w:rsidRPr="54630F52">
        <w:rPr>
          <w:rFonts w:ascii="Helvetica" w:eastAsia="Helvetica" w:hAnsi="Helvetica" w:cs="Helvetica"/>
          <w:i/>
          <w:iCs/>
          <w:color w:val="auto"/>
        </w:rPr>
        <w:t>18.5</w:t>
      </w:r>
      <w:r w:rsidR="00CD27A1">
        <w:rPr>
          <w:rFonts w:ascii="Helvetica" w:eastAsia="Helvetica" w:hAnsi="Helvetica" w:cs="Helvetica"/>
          <w:i/>
          <w:iCs/>
          <w:color w:val="auto"/>
        </w:rPr>
        <w:t xml:space="preserve">: </w:t>
      </w:r>
      <w:r w:rsidRPr="54630F52">
        <w:rPr>
          <w:rFonts w:ascii="Helvetica" w:eastAsia="Helvetica" w:hAnsi="Helvetica" w:cs="Helvetica"/>
          <w:i/>
          <w:iCs/>
          <w:color w:val="auto"/>
        </w:rPr>
        <w:t xml:space="preserve"> Failure to comply with one or more of the standard conditions of Consent may lead to suspension, variation, revocation or non-renewal of Street Trading Consent. The Consent Holder may also be prosecuted where a criminal offence has occurred</w:t>
      </w:r>
    </w:p>
    <w:p w14:paraId="020E5B49" w14:textId="441D3CAF" w:rsidR="2FEFEA4E" w:rsidRDefault="2FEFEA4E" w:rsidP="5ABE01BF">
      <w:pPr>
        <w:pStyle w:val="Heading1"/>
      </w:pPr>
      <w:r w:rsidRPr="5ABE01BF">
        <w:rPr>
          <w:rFonts w:eastAsia="Arial" w:cs="Arial"/>
          <w:bCs/>
          <w:color w:val="000000" w:themeColor="text1"/>
        </w:rPr>
        <w:t>Level of risk</w:t>
      </w:r>
    </w:p>
    <w:p w14:paraId="7F0E8170" w14:textId="3D579CC1" w:rsidR="3AC495CB" w:rsidRDefault="00CD27A1" w:rsidP="00473881">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20. </w:t>
      </w:r>
      <w:r w:rsidR="3AC495CB" w:rsidRPr="107AA0CE">
        <w:rPr>
          <w:rFonts w:eastAsia="Arial" w:cs="Arial"/>
          <w:color w:val="000000" w:themeColor="text1"/>
        </w:rPr>
        <w:t xml:space="preserve">The risks associated with this application </w:t>
      </w:r>
      <w:r w:rsidR="794868EF" w:rsidRPr="107AA0CE">
        <w:rPr>
          <w:rFonts w:eastAsia="Arial" w:cs="Arial"/>
          <w:color w:val="000000" w:themeColor="text1"/>
        </w:rPr>
        <w:t>are relatively low</w:t>
      </w:r>
      <w:r w:rsidR="6EBE0C09" w:rsidRPr="107AA0CE">
        <w:rPr>
          <w:rFonts w:eastAsia="Arial" w:cs="Arial"/>
          <w:color w:val="000000" w:themeColor="text1"/>
        </w:rPr>
        <w:t xml:space="preserve"> </w:t>
      </w:r>
      <w:r w:rsidR="640C1644" w:rsidRPr="107AA0CE">
        <w:rPr>
          <w:rFonts w:eastAsia="Arial" w:cs="Arial"/>
          <w:color w:val="000000" w:themeColor="text1"/>
        </w:rPr>
        <w:t>overall</w:t>
      </w:r>
      <w:r w:rsidR="65F0EDC3" w:rsidRPr="107AA0CE">
        <w:rPr>
          <w:rFonts w:eastAsia="Arial" w:cs="Arial"/>
          <w:color w:val="000000" w:themeColor="text1"/>
        </w:rPr>
        <w:t>. The committee will consider the risks against those criteria identified in the Policy</w:t>
      </w:r>
      <w:r w:rsidR="123913D6" w:rsidRPr="107AA0CE">
        <w:rPr>
          <w:rFonts w:eastAsia="Arial" w:cs="Arial"/>
          <w:color w:val="000000" w:themeColor="text1"/>
        </w:rPr>
        <w:t xml:space="preserve"> </w:t>
      </w:r>
      <w:r w:rsidR="640C1644" w:rsidRPr="107AA0CE">
        <w:rPr>
          <w:rFonts w:eastAsia="Arial" w:cs="Arial"/>
          <w:color w:val="000000" w:themeColor="text1"/>
        </w:rPr>
        <w:t>but</w:t>
      </w:r>
      <w:r w:rsidR="3FE34DB3" w:rsidRPr="107AA0CE">
        <w:rPr>
          <w:rFonts w:eastAsia="Arial" w:cs="Arial"/>
          <w:color w:val="000000" w:themeColor="text1"/>
        </w:rPr>
        <w:t xml:space="preserve"> the most relevant factor in this case is probably</w:t>
      </w:r>
      <w:r w:rsidR="794868EF" w:rsidRPr="107AA0CE">
        <w:rPr>
          <w:rFonts w:eastAsia="Arial" w:cs="Arial"/>
          <w:color w:val="000000" w:themeColor="text1"/>
        </w:rPr>
        <w:t>:</w:t>
      </w:r>
      <w:r w:rsidR="6EFCF05C" w:rsidRPr="107AA0CE">
        <w:rPr>
          <w:rFonts w:eastAsia="Arial" w:cs="Arial"/>
          <w:color w:val="000000" w:themeColor="text1"/>
        </w:rPr>
        <w:t xml:space="preserve"> </w:t>
      </w:r>
    </w:p>
    <w:p w14:paraId="5DFCC3B5" w14:textId="35601DA1" w:rsidR="107AA0CE" w:rsidRDefault="00CD27A1" w:rsidP="00473881">
      <w:pPr>
        <w:pStyle w:val="ListParagraph"/>
        <w:numPr>
          <w:ilvl w:val="0"/>
          <w:numId w:val="0"/>
        </w:numPr>
        <w:spacing w:after="0" w:line="259" w:lineRule="auto"/>
        <w:ind w:left="426"/>
        <w:rPr>
          <w:rFonts w:eastAsia="Arial" w:cs="Arial"/>
          <w:color w:val="000000" w:themeColor="text1"/>
        </w:rPr>
      </w:pPr>
      <w:r>
        <w:rPr>
          <w:rFonts w:eastAsia="Arial" w:cs="Arial"/>
          <w:color w:val="000000" w:themeColor="text1"/>
        </w:rPr>
        <w:t xml:space="preserve">21. </w:t>
      </w:r>
      <w:r w:rsidR="67846583" w:rsidRPr="3BDDE013">
        <w:rPr>
          <w:rFonts w:eastAsia="Arial" w:cs="Arial"/>
          <w:color w:val="000000" w:themeColor="text1"/>
        </w:rPr>
        <w:t xml:space="preserve">Public </w:t>
      </w:r>
      <w:r w:rsidR="5D78AEC2" w:rsidRPr="3BDDE013">
        <w:rPr>
          <w:rFonts w:eastAsia="Arial" w:cs="Arial"/>
          <w:color w:val="000000" w:themeColor="text1"/>
        </w:rPr>
        <w:t xml:space="preserve">nuisance, </w:t>
      </w:r>
      <w:r w:rsidR="48690B99" w:rsidRPr="3BDDE013">
        <w:rPr>
          <w:rFonts w:eastAsia="Arial" w:cs="Arial"/>
          <w:color w:val="000000" w:themeColor="text1"/>
        </w:rPr>
        <w:t xml:space="preserve">the later hours may increase the impact of people gathering around the unit. However, it is already outside of an entertainment premises and trading finishes at </w:t>
      </w:r>
      <w:r w:rsidR="4B905131" w:rsidRPr="3BDDE013">
        <w:rPr>
          <w:rFonts w:eastAsia="Arial" w:cs="Arial"/>
          <w:color w:val="000000" w:themeColor="text1"/>
        </w:rPr>
        <w:t>2200</w:t>
      </w:r>
      <w:r w:rsidR="48690B99" w:rsidRPr="3BDDE013">
        <w:rPr>
          <w:rFonts w:eastAsia="Arial" w:cs="Arial"/>
          <w:color w:val="000000" w:themeColor="text1"/>
        </w:rPr>
        <w:t>.</w:t>
      </w:r>
    </w:p>
    <w:p w14:paraId="363A0138" w14:textId="2B839811" w:rsidR="107AA0CE" w:rsidRDefault="107AA0CE" w:rsidP="3BDDE013">
      <w:pPr>
        <w:spacing w:after="0" w:line="259" w:lineRule="auto"/>
        <w:rPr>
          <w:rFonts w:eastAsia="Arial" w:cs="Arial"/>
          <w:color w:val="000000" w:themeColor="text1"/>
        </w:rPr>
      </w:pPr>
    </w:p>
    <w:p w14:paraId="2399E607" w14:textId="3347BC54" w:rsidR="002329CF" w:rsidRPr="001356F1" w:rsidRDefault="2464FE59" w:rsidP="107AA0CE">
      <w:pPr>
        <w:spacing w:after="0" w:line="259" w:lineRule="auto"/>
        <w:rPr>
          <w:b/>
          <w:bCs/>
        </w:rPr>
      </w:pPr>
      <w:r w:rsidRPr="107AA0CE">
        <w:rPr>
          <w:b/>
          <w:bCs/>
        </w:rPr>
        <w:t xml:space="preserve">Equalities impact </w:t>
      </w:r>
    </w:p>
    <w:p w14:paraId="1E9CA04C" w14:textId="79246359" w:rsidR="107AA0CE" w:rsidRDefault="107AA0CE" w:rsidP="107AA0CE">
      <w:pPr>
        <w:spacing w:after="0" w:line="259" w:lineRule="auto"/>
      </w:pPr>
    </w:p>
    <w:p w14:paraId="6CA6FFC3" w14:textId="1582A957" w:rsidR="00CD27A1" w:rsidRPr="00786276" w:rsidRDefault="00CD27A1" w:rsidP="00CD27A1">
      <w:pPr>
        <w:pStyle w:val="ListParagraph"/>
        <w:numPr>
          <w:ilvl w:val="0"/>
          <w:numId w:val="0"/>
        </w:numPr>
        <w:spacing w:line="259" w:lineRule="auto"/>
        <w:ind w:left="1080"/>
        <w:jc w:val="both"/>
      </w:pPr>
      <w:r>
        <w:t xml:space="preserve">22.  </w:t>
      </w:r>
      <w:r w:rsidRPr="00786276">
        <w:t>The Council has a Public Sector Equality Duty</w:t>
      </w:r>
      <w:r>
        <w:t xml:space="preserve"> (PSED)</w:t>
      </w:r>
      <w:r w:rsidRPr="00786276">
        <w:t xml:space="preserve"> under the Equality Act 2010 to have due regard to the need to:</w:t>
      </w:r>
    </w:p>
    <w:p w14:paraId="5DAEBE98" w14:textId="77777777" w:rsidR="00CD27A1" w:rsidRPr="00786276" w:rsidRDefault="00CD27A1" w:rsidP="00BF3872">
      <w:pPr>
        <w:pStyle w:val="ListParagraph"/>
        <w:numPr>
          <w:ilvl w:val="0"/>
          <w:numId w:val="9"/>
        </w:numPr>
        <w:spacing w:line="259" w:lineRule="auto"/>
        <w:jc w:val="both"/>
      </w:pPr>
      <w:r w:rsidRPr="00786276">
        <w:t xml:space="preserve">Eliminate discrimination, harassment and victimisation and any other conduct that is prohibited by or under the </w:t>
      </w:r>
      <w:proofErr w:type="gramStart"/>
      <w:r w:rsidRPr="00786276">
        <w:t>Act;</w:t>
      </w:r>
      <w:proofErr w:type="gramEnd"/>
    </w:p>
    <w:p w14:paraId="13D2B6A5" w14:textId="77777777" w:rsidR="00CD27A1" w:rsidRPr="00786276" w:rsidRDefault="00CD27A1" w:rsidP="00BF3872">
      <w:pPr>
        <w:pStyle w:val="ListParagraph"/>
        <w:numPr>
          <w:ilvl w:val="0"/>
          <w:numId w:val="9"/>
        </w:numPr>
        <w:spacing w:line="259" w:lineRule="auto"/>
        <w:jc w:val="both"/>
      </w:pPr>
      <w:r w:rsidRPr="00786276">
        <w:t xml:space="preserve">Advance equality of opportunity between people who share a relevant protected characteristic and those who don’t share </w:t>
      </w:r>
      <w:proofErr w:type="gramStart"/>
      <w:r w:rsidRPr="00786276">
        <w:t>it;</w:t>
      </w:r>
      <w:proofErr w:type="gramEnd"/>
    </w:p>
    <w:p w14:paraId="15B5A139" w14:textId="77777777" w:rsidR="00CD27A1" w:rsidRPr="00786276" w:rsidRDefault="00CD27A1" w:rsidP="00BF3872">
      <w:pPr>
        <w:pStyle w:val="ListParagraph"/>
        <w:numPr>
          <w:ilvl w:val="0"/>
          <w:numId w:val="9"/>
        </w:numPr>
        <w:spacing w:line="259" w:lineRule="auto"/>
        <w:jc w:val="both"/>
      </w:pPr>
      <w:r w:rsidRPr="00786276">
        <w:t>Foster good relations between people who share a relevant protected characteristic and those who do not (which involves having due regard</w:t>
      </w:r>
      <w:proofErr w:type="gramStart"/>
      <w:r w:rsidRPr="00786276">
        <w:t>, in particular, to</w:t>
      </w:r>
      <w:proofErr w:type="gramEnd"/>
      <w:r w:rsidRPr="00786276">
        <w:t xml:space="preserve"> the need to tackle prejudice and promote understanding.</w:t>
      </w:r>
    </w:p>
    <w:p w14:paraId="1C3EE284" w14:textId="7760F8C2" w:rsidR="00E206D6" w:rsidRPr="001356F1" w:rsidRDefault="00CD27A1" w:rsidP="00473881">
      <w:pPr>
        <w:spacing w:line="259" w:lineRule="auto"/>
        <w:ind w:left="426" w:hanging="426"/>
        <w:jc w:val="both"/>
      </w:pPr>
      <w:r>
        <w:t xml:space="preserve">23. It is not considered that there will be any adverse impact on persons with protected characteristics. </w:t>
      </w:r>
      <w:r w:rsidR="6FA743BA">
        <w:t xml:space="preserve"> </w:t>
      </w:r>
    </w:p>
    <w:p w14:paraId="3384B174" w14:textId="77777777" w:rsidR="002329CF" w:rsidRPr="001356F1" w:rsidRDefault="002329CF" w:rsidP="0F519E25">
      <w:pPr>
        <w:jc w:val="both"/>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3BDDE013">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shd w:val="clear" w:color="auto" w:fill="auto"/>
          </w:tcPr>
          <w:p w14:paraId="6930C959" w14:textId="6C581B3F" w:rsidR="00E87F7A" w:rsidRPr="001356F1" w:rsidRDefault="469222A8" w:rsidP="3BDDE013">
            <w:pPr>
              <w:spacing w:line="259" w:lineRule="auto"/>
            </w:pPr>
            <w:r>
              <w:t>Matt Stead</w:t>
            </w:r>
          </w:p>
        </w:tc>
      </w:tr>
      <w:tr w:rsidR="00DF093E" w:rsidRPr="001356F1" w14:paraId="07A5B9C2" w14:textId="77777777" w:rsidTr="3BDDE013">
        <w:trPr>
          <w:cantSplit/>
          <w:trHeight w:val="396"/>
        </w:trPr>
        <w:tc>
          <w:tcPr>
            <w:tcW w:w="3969" w:type="dxa"/>
            <w:tcBorders>
              <w:top w:val="single" w:sz="8" w:space="0" w:color="000000" w:themeColor="text1"/>
              <w:left w:val="single" w:sz="8" w:space="0" w:color="000000" w:themeColor="text1"/>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shd w:val="clear" w:color="auto" w:fill="auto"/>
          </w:tcPr>
          <w:p w14:paraId="3100D2DA" w14:textId="7667E578" w:rsidR="00E87F7A" w:rsidRPr="001356F1" w:rsidRDefault="2F3C854A" w:rsidP="3BDDE013">
            <w:pPr>
              <w:spacing w:line="259" w:lineRule="auto"/>
            </w:pPr>
            <w:r>
              <w:t>Supervising Senior Licensing Officer</w:t>
            </w:r>
          </w:p>
        </w:tc>
      </w:tr>
      <w:tr w:rsidR="00DF093E" w:rsidRPr="001356F1" w14:paraId="6DEB5543" w14:textId="77777777" w:rsidTr="3BDDE013">
        <w:trPr>
          <w:cantSplit/>
          <w:trHeight w:val="735"/>
        </w:trPr>
        <w:tc>
          <w:tcPr>
            <w:tcW w:w="3969" w:type="dxa"/>
            <w:tcBorders>
              <w:top w:val="nil"/>
              <w:left w:val="single" w:sz="8" w:space="0" w:color="000000" w:themeColor="text1"/>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shd w:val="clear" w:color="auto" w:fill="auto"/>
          </w:tcPr>
          <w:p w14:paraId="0F7746FF" w14:textId="0508637F" w:rsidR="00E87F7A" w:rsidRPr="001356F1" w:rsidRDefault="3ECC9544" w:rsidP="3A8082D8">
            <w:pPr>
              <w:spacing w:line="259" w:lineRule="auto"/>
            </w:pPr>
            <w:r>
              <w:t>Miscellaneous Licensing: Business Regulation Team</w:t>
            </w:r>
          </w:p>
        </w:tc>
      </w:tr>
      <w:tr w:rsidR="00DF093E" w:rsidRPr="001356F1" w14:paraId="572FB489" w14:textId="77777777" w:rsidTr="3BDDE013">
        <w:trPr>
          <w:cantSplit/>
          <w:trHeight w:val="396"/>
        </w:trPr>
        <w:tc>
          <w:tcPr>
            <w:tcW w:w="3969" w:type="dxa"/>
            <w:tcBorders>
              <w:top w:val="nil"/>
              <w:left w:val="single" w:sz="8" w:space="0" w:color="000000" w:themeColor="text1"/>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shd w:val="clear" w:color="auto" w:fill="auto"/>
          </w:tcPr>
          <w:p w14:paraId="53D96CCC" w14:textId="0B250A0D" w:rsidR="00E87F7A" w:rsidRPr="001356F1" w:rsidRDefault="00E87F7A" w:rsidP="00A46E98">
            <w:r>
              <w:t xml:space="preserve">01865 </w:t>
            </w:r>
            <w:r w:rsidR="740514B2">
              <w:t>335771</w:t>
            </w:r>
            <w:r>
              <w:t xml:space="preserve"> </w:t>
            </w:r>
          </w:p>
        </w:tc>
      </w:tr>
      <w:tr w:rsidR="005570B5" w:rsidRPr="001356F1" w14:paraId="40AEFD69" w14:textId="77777777" w:rsidTr="3BDDE013">
        <w:trPr>
          <w:cantSplit/>
          <w:trHeight w:val="396"/>
        </w:trPr>
        <w:tc>
          <w:tcPr>
            <w:tcW w:w="3969" w:type="dxa"/>
            <w:tcBorders>
              <w:top w:val="nil"/>
              <w:left w:val="single" w:sz="8" w:space="0" w:color="000000" w:themeColor="text1"/>
              <w:bottom w:val="single" w:sz="8" w:space="0" w:color="000000" w:themeColor="text1"/>
              <w:right w:val="nil"/>
            </w:tcBorders>
            <w:shd w:val="clear" w:color="auto" w:fill="auto"/>
          </w:tcPr>
          <w:p w14:paraId="5C2DD139" w14:textId="77777777" w:rsidR="00E87F7A" w:rsidRPr="001356F1" w:rsidRDefault="00E87F7A" w:rsidP="00A46E98">
            <w:r w:rsidRPr="001356F1">
              <w:lastRenderedPageBreak/>
              <w:t xml:space="preserve">e-mail </w:t>
            </w:r>
          </w:p>
        </w:tc>
        <w:tc>
          <w:tcPr>
            <w:tcW w:w="4962" w:type="dxa"/>
            <w:tcBorders>
              <w:top w:val="nil"/>
              <w:left w:val="nil"/>
              <w:bottom w:val="single" w:sz="8" w:space="0" w:color="000000" w:themeColor="text1"/>
              <w:right w:val="single" w:sz="8" w:space="0" w:color="000000" w:themeColor="text1"/>
            </w:tcBorders>
            <w:shd w:val="clear" w:color="auto" w:fill="auto"/>
          </w:tcPr>
          <w:p w14:paraId="64C04F4C" w14:textId="2778A2C7" w:rsidR="00E87F7A" w:rsidRPr="001356F1" w:rsidRDefault="288D8889" w:rsidP="3BDDE013">
            <w:pPr>
              <w:spacing w:line="259" w:lineRule="auto"/>
            </w:pPr>
            <w:r w:rsidRPr="3BDDE013">
              <w:rPr>
                <w:rStyle w:val="Hyperlink"/>
                <w:color w:val="000000" w:themeColor="text1"/>
              </w:rPr>
              <w:t>Mstead@oxford.gov.uk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10"/>
      </w:tblGrid>
      <w:tr w:rsidR="00DF093E" w:rsidRPr="001356F1" w14:paraId="12CCF8EE" w14:textId="77777777" w:rsidTr="0066681C">
        <w:trPr>
          <w:trHeight w:val="232"/>
        </w:trPr>
        <w:tc>
          <w:tcPr>
            <w:tcW w:w="8980" w:type="dxa"/>
            <w:gridSpan w:val="2"/>
            <w:shd w:val="clear" w:color="auto" w:fill="auto"/>
          </w:tcPr>
          <w:p w14:paraId="7116CD40" w14:textId="6A3C18FD" w:rsidR="004A618C" w:rsidRPr="004A618C" w:rsidRDefault="282C914F" w:rsidP="004A618C">
            <w:pPr>
              <w:rPr>
                <w:b/>
              </w:rPr>
            </w:pPr>
            <w:r w:rsidRPr="62B73EE3">
              <w:rPr>
                <w:rStyle w:val="Firstpagetablebold"/>
              </w:rPr>
              <w:t>Background Papers:</w:t>
            </w:r>
          </w:p>
        </w:tc>
      </w:tr>
      <w:tr w:rsidR="00DF093E" w:rsidRPr="001356F1" w14:paraId="4B513816" w14:textId="77777777" w:rsidTr="0066681C">
        <w:trPr>
          <w:trHeight w:val="397"/>
        </w:trPr>
        <w:tc>
          <w:tcPr>
            <w:tcW w:w="570" w:type="dxa"/>
            <w:shd w:val="clear" w:color="auto" w:fill="auto"/>
          </w:tcPr>
          <w:p w14:paraId="5C766C7F" w14:textId="77777777" w:rsidR="0093067A" w:rsidRPr="001356F1" w:rsidRDefault="00182B81" w:rsidP="00F41AC1">
            <w:r w:rsidRPr="001356F1">
              <w:t>1</w:t>
            </w:r>
          </w:p>
        </w:tc>
        <w:tc>
          <w:tcPr>
            <w:tcW w:w="8410" w:type="dxa"/>
          </w:tcPr>
          <w:p w14:paraId="462D1A28" w14:textId="1E2F5EC2" w:rsidR="0093067A" w:rsidRPr="001356F1" w:rsidRDefault="38C206AB" w:rsidP="1B1FE94F">
            <w:pPr>
              <w:spacing w:line="259" w:lineRule="auto"/>
              <w:rPr>
                <w:rFonts w:eastAsia="Arial" w:cs="Arial"/>
              </w:rPr>
            </w:pPr>
            <w:r>
              <w:t>Oxford City Council Street Trading Policy</w:t>
            </w:r>
            <w:r w:rsidR="6FB3BBC4">
              <w:t xml:space="preserve">, which can be accessed here: </w:t>
            </w:r>
            <w:hyperlink r:id="rId11">
              <w:r w:rsidR="6FB3BBC4" w:rsidRPr="1B1FE94F">
                <w:rPr>
                  <w:rStyle w:val="Hyperlink"/>
                  <w:rFonts w:eastAsia="Arial" w:cs="Arial"/>
                </w:rPr>
                <w:t>Street Trading Policy | Oxford City Council</w:t>
              </w:r>
            </w:hyperlink>
          </w:p>
        </w:tc>
      </w:tr>
    </w:tbl>
    <w:p w14:paraId="39167103" w14:textId="77777777" w:rsidR="004A618C" w:rsidRDefault="004A618C">
      <w:pPr>
        <w:rPr>
          <w:rStyle w:val="CommentReference"/>
        </w:rPr>
      </w:pPr>
    </w:p>
    <w:p w14:paraId="53253269" w14:textId="77777777" w:rsidR="00DA4C72" w:rsidRDefault="00DA4C72">
      <w:pPr>
        <w:rPr>
          <w:rStyle w:val="CommentReference"/>
        </w:rPr>
      </w:pPr>
    </w:p>
    <w:p w14:paraId="3E0AA125" w14:textId="77777777" w:rsidR="00DA4C72" w:rsidRDefault="00DA4C72">
      <w:pPr>
        <w:rPr>
          <w:rStyle w:val="CommentReference"/>
        </w:rPr>
      </w:pPr>
    </w:p>
    <w:p w14:paraId="56873D88" w14:textId="77777777" w:rsidR="00DA4C72" w:rsidRDefault="00DA4C72">
      <w:pPr>
        <w:rPr>
          <w:rStyle w:val="CommentReference"/>
        </w:rPr>
      </w:pPr>
    </w:p>
    <w:p w14:paraId="2FF1B8C2" w14:textId="77777777" w:rsidR="00DA4C72" w:rsidRDefault="00DA4C72">
      <w:pPr>
        <w:rPr>
          <w:rStyle w:val="CommentReference"/>
        </w:rPr>
      </w:pPr>
    </w:p>
    <w:p w14:paraId="12EC1563" w14:textId="77777777" w:rsidR="00DA4C72" w:rsidRDefault="00DA4C72">
      <w:pPr>
        <w:rPr>
          <w:rStyle w:val="CommentReference"/>
        </w:rPr>
      </w:pPr>
    </w:p>
    <w:p w14:paraId="5D6E95EB" w14:textId="77777777" w:rsidR="00DA4C72" w:rsidRDefault="00DA4C72">
      <w:pPr>
        <w:rPr>
          <w:rStyle w:val="CommentReference"/>
        </w:rPr>
      </w:pPr>
    </w:p>
    <w:p w14:paraId="4AED5BE1" w14:textId="77777777" w:rsidR="00DA4C72" w:rsidRDefault="00DA4C72">
      <w:pPr>
        <w:rPr>
          <w:rStyle w:val="CommentReference"/>
        </w:rPr>
      </w:pPr>
    </w:p>
    <w:p w14:paraId="5D43FB3A" w14:textId="77777777" w:rsidR="00DA4C72" w:rsidRDefault="00DA4C72">
      <w:pPr>
        <w:rPr>
          <w:rStyle w:val="CommentReference"/>
        </w:rPr>
      </w:pPr>
    </w:p>
    <w:p w14:paraId="216BB18E" w14:textId="77777777" w:rsidR="00DA4C72" w:rsidRDefault="00DA4C72">
      <w:pPr>
        <w:rPr>
          <w:rStyle w:val="CommentReference"/>
        </w:rPr>
      </w:pPr>
    </w:p>
    <w:p w14:paraId="78245217" w14:textId="77777777" w:rsidR="00DA4C72" w:rsidRDefault="00DA4C72">
      <w:pPr>
        <w:rPr>
          <w:rStyle w:val="CommentReference"/>
        </w:rPr>
      </w:pPr>
    </w:p>
    <w:p w14:paraId="5456AC45" w14:textId="77777777" w:rsidR="00DA4C72" w:rsidRDefault="00DA4C72"/>
    <w:sectPr w:rsidR="00DA4C72" w:rsidSect="002B6836">
      <w:headerReference w:type="default" r:id="rId12"/>
      <w:footerReference w:type="even" r:id="rId13"/>
      <w:footerReference w:type="default" r:id="rId14"/>
      <w:headerReference w:type="first" r:id="rId15"/>
      <w:footerReference w:type="first" r:id="rId16"/>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F418" w14:textId="77777777" w:rsidR="00CD720A" w:rsidRDefault="00CD720A" w:rsidP="004A6D2F">
      <w:r>
        <w:separator/>
      </w:r>
    </w:p>
  </w:endnote>
  <w:endnote w:type="continuationSeparator" w:id="0">
    <w:p w14:paraId="5E9BAA7B" w14:textId="77777777" w:rsidR="00CD720A" w:rsidRDefault="00CD720A"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F519E25" w14:paraId="474BB19B" w14:textId="77777777" w:rsidTr="0F519E25">
      <w:trPr>
        <w:trHeight w:val="300"/>
      </w:trPr>
      <w:tc>
        <w:tcPr>
          <w:tcW w:w="3095" w:type="dxa"/>
        </w:tcPr>
        <w:p w14:paraId="27351492" w14:textId="0561B6CB" w:rsidR="0F519E25" w:rsidRDefault="0F519E25" w:rsidP="0F519E25">
          <w:pPr>
            <w:pStyle w:val="Header"/>
            <w:ind w:left="-115"/>
          </w:pPr>
        </w:p>
      </w:tc>
      <w:tc>
        <w:tcPr>
          <w:tcW w:w="3095" w:type="dxa"/>
        </w:tcPr>
        <w:p w14:paraId="3FE60582" w14:textId="15070AA3" w:rsidR="0F519E25" w:rsidRDefault="0F519E25" w:rsidP="0F519E25">
          <w:pPr>
            <w:pStyle w:val="Header"/>
            <w:jc w:val="center"/>
          </w:pPr>
        </w:p>
      </w:tc>
      <w:tc>
        <w:tcPr>
          <w:tcW w:w="3095" w:type="dxa"/>
        </w:tcPr>
        <w:p w14:paraId="234CB343" w14:textId="356B6740" w:rsidR="0F519E25" w:rsidRDefault="0F519E25" w:rsidP="0F519E25">
          <w:pPr>
            <w:pStyle w:val="Header"/>
            <w:ind w:right="-115"/>
            <w:jc w:val="right"/>
            <w:rPr>
              <w:sz w:val="32"/>
              <w:szCs w:val="32"/>
            </w:rPr>
          </w:pPr>
          <w:r w:rsidRPr="0F519E25">
            <w:rPr>
              <w:sz w:val="32"/>
              <w:szCs w:val="32"/>
            </w:rPr>
            <w:fldChar w:fldCharType="begin"/>
          </w:r>
          <w:r>
            <w:instrText>PAGE</w:instrText>
          </w:r>
          <w:r w:rsidRPr="0F519E25">
            <w:fldChar w:fldCharType="separate"/>
          </w:r>
          <w:r w:rsidR="00CF52A8">
            <w:rPr>
              <w:noProof/>
            </w:rPr>
            <w:t>2</w:t>
          </w:r>
          <w:r w:rsidRPr="0F519E25">
            <w:rPr>
              <w:sz w:val="32"/>
              <w:szCs w:val="32"/>
            </w:rPr>
            <w:fldChar w:fldCharType="end"/>
          </w:r>
        </w:p>
      </w:tc>
    </w:tr>
  </w:tbl>
  <w:p w14:paraId="77E5FE1E" w14:textId="36A71306" w:rsidR="0F519E25" w:rsidRDefault="0F519E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F519E25" w14:paraId="2370D7FA" w14:textId="77777777" w:rsidTr="0F519E25">
      <w:trPr>
        <w:trHeight w:val="300"/>
      </w:trPr>
      <w:tc>
        <w:tcPr>
          <w:tcW w:w="3095" w:type="dxa"/>
        </w:tcPr>
        <w:p w14:paraId="6764225A" w14:textId="6DAA2453" w:rsidR="0F519E25" w:rsidRDefault="0F519E25" w:rsidP="0F519E25">
          <w:pPr>
            <w:pStyle w:val="Header"/>
            <w:ind w:left="-115"/>
          </w:pPr>
        </w:p>
      </w:tc>
      <w:tc>
        <w:tcPr>
          <w:tcW w:w="3095" w:type="dxa"/>
        </w:tcPr>
        <w:p w14:paraId="5DB93BE6" w14:textId="47AB3EB2" w:rsidR="0F519E25" w:rsidRDefault="0F519E25" w:rsidP="0F519E25">
          <w:pPr>
            <w:pStyle w:val="Header"/>
            <w:jc w:val="center"/>
          </w:pPr>
        </w:p>
      </w:tc>
      <w:tc>
        <w:tcPr>
          <w:tcW w:w="3095" w:type="dxa"/>
        </w:tcPr>
        <w:p w14:paraId="0D1DFC0C" w14:textId="21085F2F" w:rsidR="0F519E25" w:rsidRDefault="0F519E25" w:rsidP="0F519E25">
          <w:pPr>
            <w:pStyle w:val="Header"/>
            <w:ind w:right="-115"/>
            <w:jc w:val="right"/>
          </w:pPr>
        </w:p>
      </w:tc>
    </w:tr>
  </w:tbl>
  <w:p w14:paraId="5FBD134C" w14:textId="2388F54F" w:rsidR="0F519E25" w:rsidRDefault="0F519E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45A3" w14:textId="77777777" w:rsidR="00CD720A" w:rsidRDefault="00CD720A" w:rsidP="004A6D2F">
      <w:r>
        <w:separator/>
      </w:r>
    </w:p>
  </w:footnote>
  <w:footnote w:type="continuationSeparator" w:id="0">
    <w:p w14:paraId="42FFD869" w14:textId="77777777" w:rsidR="00CD720A" w:rsidRDefault="00CD720A"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F519E25" w14:paraId="5AC420E4" w14:textId="77777777" w:rsidTr="0F519E25">
      <w:trPr>
        <w:trHeight w:val="300"/>
      </w:trPr>
      <w:tc>
        <w:tcPr>
          <w:tcW w:w="3095" w:type="dxa"/>
        </w:tcPr>
        <w:p w14:paraId="5875005F" w14:textId="7FECA3FA" w:rsidR="0F519E25" w:rsidRDefault="0F519E25" w:rsidP="0F519E25">
          <w:pPr>
            <w:pStyle w:val="Header"/>
            <w:ind w:left="-115"/>
          </w:pPr>
        </w:p>
      </w:tc>
      <w:tc>
        <w:tcPr>
          <w:tcW w:w="3095" w:type="dxa"/>
        </w:tcPr>
        <w:p w14:paraId="491D0600" w14:textId="096427EE" w:rsidR="0F519E25" w:rsidRDefault="0F519E25" w:rsidP="0F519E25">
          <w:pPr>
            <w:pStyle w:val="Header"/>
            <w:jc w:val="center"/>
          </w:pPr>
        </w:p>
      </w:tc>
      <w:tc>
        <w:tcPr>
          <w:tcW w:w="3095" w:type="dxa"/>
        </w:tcPr>
        <w:p w14:paraId="48FB53AF" w14:textId="6A675969" w:rsidR="0F519E25" w:rsidRDefault="0F519E25" w:rsidP="0F519E25">
          <w:pPr>
            <w:pStyle w:val="Header"/>
            <w:ind w:right="-115"/>
            <w:jc w:val="right"/>
          </w:pPr>
        </w:p>
      </w:tc>
    </w:tr>
  </w:tbl>
  <w:p w14:paraId="1B1C81E1" w14:textId="22908871" w:rsidR="0F519E25" w:rsidRDefault="0F519E25" w:rsidP="0F519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1080" w:hanging="360"/>
      </w:pPr>
      <w:rPr>
        <w:color w:val="000000"/>
        <w:sz w:val="24"/>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3C7F9B"/>
    <w:multiLevelType w:val="hybridMultilevel"/>
    <w:tmpl w:val="3B4EA262"/>
    <w:lvl w:ilvl="0" w:tplc="0A2A3EF8">
      <w:start w:val="23"/>
      <w:numFmt w:val="decimal"/>
      <w:lvlText w:val="%1."/>
      <w:lvlJc w:val="left"/>
      <w:pPr>
        <w:ind w:left="360" w:hanging="360"/>
      </w:pPr>
    </w:lvl>
    <w:lvl w:ilvl="1" w:tplc="2BA6F924">
      <w:start w:val="1"/>
      <w:numFmt w:val="lowerLetter"/>
      <w:lvlText w:val="%2."/>
      <w:lvlJc w:val="left"/>
      <w:pPr>
        <w:ind w:left="1080" w:hanging="360"/>
      </w:pPr>
    </w:lvl>
    <w:lvl w:ilvl="2" w:tplc="65C6BDD4">
      <w:start w:val="1"/>
      <w:numFmt w:val="lowerRoman"/>
      <w:lvlText w:val="%3."/>
      <w:lvlJc w:val="right"/>
      <w:pPr>
        <w:ind w:left="1800" w:hanging="180"/>
      </w:pPr>
    </w:lvl>
    <w:lvl w:ilvl="3" w:tplc="18C0FF8C">
      <w:start w:val="1"/>
      <w:numFmt w:val="decimal"/>
      <w:lvlText w:val="%4."/>
      <w:lvlJc w:val="left"/>
      <w:pPr>
        <w:ind w:left="2520" w:hanging="360"/>
      </w:pPr>
    </w:lvl>
    <w:lvl w:ilvl="4" w:tplc="2C422608">
      <w:start w:val="1"/>
      <w:numFmt w:val="lowerLetter"/>
      <w:lvlText w:val="%5."/>
      <w:lvlJc w:val="left"/>
      <w:pPr>
        <w:ind w:left="3240" w:hanging="360"/>
      </w:pPr>
    </w:lvl>
    <w:lvl w:ilvl="5" w:tplc="57FCD8CE">
      <w:start w:val="1"/>
      <w:numFmt w:val="lowerRoman"/>
      <w:lvlText w:val="%6."/>
      <w:lvlJc w:val="right"/>
      <w:pPr>
        <w:ind w:left="3960" w:hanging="180"/>
      </w:pPr>
    </w:lvl>
    <w:lvl w:ilvl="6" w:tplc="155EFD68">
      <w:start w:val="1"/>
      <w:numFmt w:val="decimal"/>
      <w:lvlText w:val="%7."/>
      <w:lvlJc w:val="left"/>
      <w:pPr>
        <w:ind w:left="4680" w:hanging="360"/>
      </w:pPr>
    </w:lvl>
    <w:lvl w:ilvl="7" w:tplc="06D448A8">
      <w:start w:val="1"/>
      <w:numFmt w:val="lowerLetter"/>
      <w:lvlText w:val="%8."/>
      <w:lvlJc w:val="left"/>
      <w:pPr>
        <w:ind w:left="5400" w:hanging="360"/>
      </w:pPr>
    </w:lvl>
    <w:lvl w:ilvl="8" w:tplc="B666009C">
      <w:start w:val="1"/>
      <w:numFmt w:val="lowerRoman"/>
      <w:lvlText w:val="%9."/>
      <w:lvlJc w:val="right"/>
      <w:pPr>
        <w:ind w:left="6120" w:hanging="180"/>
      </w:pPr>
    </w:lvl>
  </w:abstractNum>
  <w:abstractNum w:abstractNumId="3"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D27FB8"/>
    <w:multiLevelType w:val="hybridMultilevel"/>
    <w:tmpl w:val="688A03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6219A8AB"/>
    <w:multiLevelType w:val="hybridMultilevel"/>
    <w:tmpl w:val="A4BE9326"/>
    <w:lvl w:ilvl="0" w:tplc="4BAA4AC8">
      <w:start w:val="1"/>
      <w:numFmt w:val="decimal"/>
      <w:lvlText w:val="%1."/>
      <w:lvlJc w:val="left"/>
      <w:pPr>
        <w:ind w:left="360" w:hanging="360"/>
      </w:pPr>
    </w:lvl>
    <w:lvl w:ilvl="1" w:tplc="52EEFC22">
      <w:start w:val="1"/>
      <w:numFmt w:val="lowerLetter"/>
      <w:lvlText w:val="%2."/>
      <w:lvlJc w:val="left"/>
      <w:pPr>
        <w:ind w:left="1080" w:hanging="360"/>
      </w:pPr>
    </w:lvl>
    <w:lvl w:ilvl="2" w:tplc="383CE30C">
      <w:start w:val="1"/>
      <w:numFmt w:val="lowerRoman"/>
      <w:lvlText w:val="%3."/>
      <w:lvlJc w:val="right"/>
      <w:pPr>
        <w:ind w:left="1800" w:hanging="180"/>
      </w:pPr>
    </w:lvl>
    <w:lvl w:ilvl="3" w:tplc="D3F29BB8">
      <w:start w:val="1"/>
      <w:numFmt w:val="decimal"/>
      <w:lvlText w:val="%4."/>
      <w:lvlJc w:val="left"/>
      <w:pPr>
        <w:ind w:left="2520" w:hanging="360"/>
      </w:pPr>
    </w:lvl>
    <w:lvl w:ilvl="4" w:tplc="8B0AAAF8">
      <w:start w:val="1"/>
      <w:numFmt w:val="lowerLetter"/>
      <w:lvlText w:val="%5."/>
      <w:lvlJc w:val="left"/>
      <w:pPr>
        <w:ind w:left="3240" w:hanging="360"/>
      </w:pPr>
    </w:lvl>
    <w:lvl w:ilvl="5" w:tplc="7F683FA8">
      <w:start w:val="1"/>
      <w:numFmt w:val="lowerRoman"/>
      <w:lvlText w:val="%6."/>
      <w:lvlJc w:val="right"/>
      <w:pPr>
        <w:ind w:left="3960" w:hanging="180"/>
      </w:pPr>
    </w:lvl>
    <w:lvl w:ilvl="6" w:tplc="5EBCAE48">
      <w:start w:val="1"/>
      <w:numFmt w:val="decimal"/>
      <w:lvlText w:val="%7."/>
      <w:lvlJc w:val="left"/>
      <w:pPr>
        <w:ind w:left="4680" w:hanging="360"/>
      </w:pPr>
    </w:lvl>
    <w:lvl w:ilvl="7" w:tplc="6DFAA66E">
      <w:start w:val="1"/>
      <w:numFmt w:val="lowerLetter"/>
      <w:lvlText w:val="%8."/>
      <w:lvlJc w:val="left"/>
      <w:pPr>
        <w:ind w:left="5400" w:hanging="360"/>
      </w:pPr>
    </w:lvl>
    <w:lvl w:ilvl="8" w:tplc="7488F6C6">
      <w:start w:val="1"/>
      <w:numFmt w:val="lowerRoman"/>
      <w:lvlText w:val="%9."/>
      <w:lvlJc w:val="right"/>
      <w:pPr>
        <w:ind w:left="6120" w:hanging="180"/>
      </w:pPr>
    </w:lvl>
  </w:abstractNum>
  <w:abstractNum w:abstractNumId="6" w15:restartNumberingAfterBreak="0">
    <w:nsid w:val="698B1305"/>
    <w:multiLevelType w:val="hybridMultilevel"/>
    <w:tmpl w:val="FCA629CE"/>
    <w:lvl w:ilvl="0" w:tplc="13282AA6">
      <w:start w:val="15"/>
      <w:numFmt w:val="decimal"/>
      <w:lvlText w:val="%1."/>
      <w:lvlJc w:val="left"/>
      <w:pPr>
        <w:ind w:left="360" w:hanging="360"/>
      </w:pPr>
    </w:lvl>
    <w:lvl w:ilvl="1" w:tplc="6C8480D2">
      <w:start w:val="1"/>
      <w:numFmt w:val="lowerLetter"/>
      <w:lvlText w:val="%2."/>
      <w:lvlJc w:val="left"/>
      <w:pPr>
        <w:ind w:left="1080" w:hanging="360"/>
      </w:pPr>
    </w:lvl>
    <w:lvl w:ilvl="2" w:tplc="59462BA2">
      <w:start w:val="1"/>
      <w:numFmt w:val="lowerRoman"/>
      <w:lvlText w:val="%3."/>
      <w:lvlJc w:val="right"/>
      <w:pPr>
        <w:ind w:left="1800" w:hanging="180"/>
      </w:pPr>
    </w:lvl>
    <w:lvl w:ilvl="3" w:tplc="5C00E726">
      <w:start w:val="1"/>
      <w:numFmt w:val="decimal"/>
      <w:lvlText w:val="%4."/>
      <w:lvlJc w:val="left"/>
      <w:pPr>
        <w:ind w:left="2520" w:hanging="360"/>
      </w:pPr>
    </w:lvl>
    <w:lvl w:ilvl="4" w:tplc="274AB0FA">
      <w:start w:val="1"/>
      <w:numFmt w:val="lowerLetter"/>
      <w:lvlText w:val="%5."/>
      <w:lvlJc w:val="left"/>
      <w:pPr>
        <w:ind w:left="3240" w:hanging="360"/>
      </w:pPr>
    </w:lvl>
    <w:lvl w:ilvl="5" w:tplc="04EC1262">
      <w:start w:val="1"/>
      <w:numFmt w:val="lowerRoman"/>
      <w:lvlText w:val="%6."/>
      <w:lvlJc w:val="right"/>
      <w:pPr>
        <w:ind w:left="3960" w:hanging="180"/>
      </w:pPr>
    </w:lvl>
    <w:lvl w:ilvl="6" w:tplc="99F60D9E">
      <w:start w:val="1"/>
      <w:numFmt w:val="decimal"/>
      <w:lvlText w:val="%7."/>
      <w:lvlJc w:val="left"/>
      <w:pPr>
        <w:ind w:left="4680" w:hanging="360"/>
      </w:pPr>
    </w:lvl>
    <w:lvl w:ilvl="7" w:tplc="E10C28F0">
      <w:start w:val="1"/>
      <w:numFmt w:val="lowerLetter"/>
      <w:lvlText w:val="%8."/>
      <w:lvlJc w:val="left"/>
      <w:pPr>
        <w:ind w:left="5400" w:hanging="360"/>
      </w:pPr>
    </w:lvl>
    <w:lvl w:ilvl="8" w:tplc="0A3AA8F4">
      <w:start w:val="1"/>
      <w:numFmt w:val="lowerRoman"/>
      <w:lvlText w:val="%9."/>
      <w:lvlJc w:val="right"/>
      <w:pPr>
        <w:ind w:left="6120" w:hanging="180"/>
      </w:pPr>
    </w:lvl>
  </w:abstractNum>
  <w:abstractNum w:abstractNumId="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8365C6"/>
    <w:multiLevelType w:val="multilevel"/>
    <w:tmpl w:val="E67CE66C"/>
    <w:numStyleLink w:val="StyleNumberedLeft0cmHanging075cm"/>
  </w:abstractNum>
  <w:num w:numId="1" w16cid:durableId="884874427">
    <w:abstractNumId w:val="2"/>
  </w:num>
  <w:num w:numId="2" w16cid:durableId="637612996">
    <w:abstractNumId w:val="6"/>
  </w:num>
  <w:num w:numId="3" w16cid:durableId="850335361">
    <w:abstractNumId w:val="5"/>
  </w:num>
  <w:num w:numId="4" w16cid:durableId="1450854030">
    <w:abstractNumId w:val="0"/>
  </w:num>
  <w:num w:numId="5" w16cid:durableId="373359476">
    <w:abstractNumId w:val="8"/>
  </w:num>
  <w:num w:numId="6" w16cid:durableId="1009412161">
    <w:abstractNumId w:val="3"/>
  </w:num>
  <w:num w:numId="7" w16cid:durableId="2041280933">
    <w:abstractNumId w:val="1"/>
  </w:num>
  <w:num w:numId="8" w16cid:durableId="37707020">
    <w:abstractNumId w:val="7"/>
  </w:num>
  <w:num w:numId="9" w16cid:durableId="1637122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3F05"/>
    <w:rsid w:val="00017030"/>
    <w:rsid w:val="00025250"/>
    <w:rsid w:val="000314D7"/>
    <w:rsid w:val="00034054"/>
    <w:rsid w:val="00045F8B"/>
    <w:rsid w:val="00046D2B"/>
    <w:rsid w:val="00056263"/>
    <w:rsid w:val="00064D8A"/>
    <w:rsid w:val="00064F82"/>
    <w:rsid w:val="00066510"/>
    <w:rsid w:val="0006C0FD"/>
    <w:rsid w:val="00077523"/>
    <w:rsid w:val="00083D9D"/>
    <w:rsid w:val="000B1DFC"/>
    <w:rsid w:val="000C089F"/>
    <w:rsid w:val="000C3928"/>
    <w:rsid w:val="000C5E8E"/>
    <w:rsid w:val="000C7254"/>
    <w:rsid w:val="000F4751"/>
    <w:rsid w:val="0010524C"/>
    <w:rsid w:val="00111FB1"/>
    <w:rsid w:val="00113418"/>
    <w:rsid w:val="001264E5"/>
    <w:rsid w:val="001356F1"/>
    <w:rsid w:val="001359B7"/>
    <w:rsid w:val="00136994"/>
    <w:rsid w:val="0014128E"/>
    <w:rsid w:val="00147E2D"/>
    <w:rsid w:val="00151888"/>
    <w:rsid w:val="00154095"/>
    <w:rsid w:val="00170A2D"/>
    <w:rsid w:val="001808BC"/>
    <w:rsid w:val="00182B81"/>
    <w:rsid w:val="0018619D"/>
    <w:rsid w:val="001947C3"/>
    <w:rsid w:val="001A011E"/>
    <w:rsid w:val="001A066A"/>
    <w:rsid w:val="001A13E6"/>
    <w:rsid w:val="001A5731"/>
    <w:rsid w:val="001A7B0A"/>
    <w:rsid w:val="001B3937"/>
    <w:rsid w:val="001B42C3"/>
    <w:rsid w:val="001C5D5E"/>
    <w:rsid w:val="001D678D"/>
    <w:rsid w:val="001E03F8"/>
    <w:rsid w:val="001E1678"/>
    <w:rsid w:val="001E3376"/>
    <w:rsid w:val="002069B3"/>
    <w:rsid w:val="002312EA"/>
    <w:rsid w:val="002329CF"/>
    <w:rsid w:val="00232F5B"/>
    <w:rsid w:val="00247C29"/>
    <w:rsid w:val="00260467"/>
    <w:rsid w:val="00263EA3"/>
    <w:rsid w:val="00284F85"/>
    <w:rsid w:val="002870C3"/>
    <w:rsid w:val="00290915"/>
    <w:rsid w:val="002964A0"/>
    <w:rsid w:val="002A22E2"/>
    <w:rsid w:val="002B0D97"/>
    <w:rsid w:val="002B6836"/>
    <w:rsid w:val="002C33B3"/>
    <w:rsid w:val="002C64F7"/>
    <w:rsid w:val="002F41F2"/>
    <w:rsid w:val="00301BF3"/>
    <w:rsid w:val="0030208D"/>
    <w:rsid w:val="003074F4"/>
    <w:rsid w:val="0031544A"/>
    <w:rsid w:val="003159A7"/>
    <w:rsid w:val="00320C87"/>
    <w:rsid w:val="00323418"/>
    <w:rsid w:val="003269B5"/>
    <w:rsid w:val="003357BF"/>
    <w:rsid w:val="00364FAD"/>
    <w:rsid w:val="0036738F"/>
    <w:rsid w:val="0036759C"/>
    <w:rsid w:val="00367AE5"/>
    <w:rsid w:val="00367D71"/>
    <w:rsid w:val="0038150A"/>
    <w:rsid w:val="00387F8B"/>
    <w:rsid w:val="0039559D"/>
    <w:rsid w:val="003B6D01"/>
    <w:rsid w:val="003B6E75"/>
    <w:rsid w:val="003B7DA1"/>
    <w:rsid w:val="003C427C"/>
    <w:rsid w:val="003D0379"/>
    <w:rsid w:val="003D2574"/>
    <w:rsid w:val="003D4C59"/>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81"/>
    <w:rsid w:val="004738C5"/>
    <w:rsid w:val="0047737B"/>
    <w:rsid w:val="00480C3F"/>
    <w:rsid w:val="00491046"/>
    <w:rsid w:val="00496078"/>
    <w:rsid w:val="004A2AC7"/>
    <w:rsid w:val="004A618C"/>
    <w:rsid w:val="004A6D2F"/>
    <w:rsid w:val="004B11AE"/>
    <w:rsid w:val="004C2887"/>
    <w:rsid w:val="004D2626"/>
    <w:rsid w:val="004D2F65"/>
    <w:rsid w:val="004D6E26"/>
    <w:rsid w:val="004D77D3"/>
    <w:rsid w:val="004E2959"/>
    <w:rsid w:val="004F20EF"/>
    <w:rsid w:val="0050321C"/>
    <w:rsid w:val="00507ECC"/>
    <w:rsid w:val="0054712D"/>
    <w:rsid w:val="00547EF6"/>
    <w:rsid w:val="005570B5"/>
    <w:rsid w:val="00567E18"/>
    <w:rsid w:val="005724BD"/>
    <w:rsid w:val="00575F5F"/>
    <w:rsid w:val="00581805"/>
    <w:rsid w:val="00585F76"/>
    <w:rsid w:val="00595707"/>
    <w:rsid w:val="005A34E4"/>
    <w:rsid w:val="005A6610"/>
    <w:rsid w:val="005B17F2"/>
    <w:rsid w:val="005B7FB0"/>
    <w:rsid w:val="005C282F"/>
    <w:rsid w:val="005C35A5"/>
    <w:rsid w:val="005C4607"/>
    <w:rsid w:val="005C577C"/>
    <w:rsid w:val="005D0621"/>
    <w:rsid w:val="005D0788"/>
    <w:rsid w:val="005D1E27"/>
    <w:rsid w:val="005D2A3E"/>
    <w:rsid w:val="005E022E"/>
    <w:rsid w:val="005E5215"/>
    <w:rsid w:val="005F7F7E"/>
    <w:rsid w:val="00614693"/>
    <w:rsid w:val="00623C2F"/>
    <w:rsid w:val="00633578"/>
    <w:rsid w:val="00637068"/>
    <w:rsid w:val="00650811"/>
    <w:rsid w:val="00654B2D"/>
    <w:rsid w:val="00655339"/>
    <w:rsid w:val="00661D3E"/>
    <w:rsid w:val="0066681C"/>
    <w:rsid w:val="00672802"/>
    <w:rsid w:val="00692627"/>
    <w:rsid w:val="006969E7"/>
    <w:rsid w:val="006A3643"/>
    <w:rsid w:val="006B10C2"/>
    <w:rsid w:val="006C2A29"/>
    <w:rsid w:val="006C64CF"/>
    <w:rsid w:val="006D17B1"/>
    <w:rsid w:val="006D4752"/>
    <w:rsid w:val="006D708A"/>
    <w:rsid w:val="006E10AC"/>
    <w:rsid w:val="006E14C1"/>
    <w:rsid w:val="006F0292"/>
    <w:rsid w:val="006F27FA"/>
    <w:rsid w:val="006F416B"/>
    <w:rsid w:val="006F519B"/>
    <w:rsid w:val="00713675"/>
    <w:rsid w:val="00715823"/>
    <w:rsid w:val="0072449C"/>
    <w:rsid w:val="007253EF"/>
    <w:rsid w:val="00737B93"/>
    <w:rsid w:val="00745BF0"/>
    <w:rsid w:val="00751EA3"/>
    <w:rsid w:val="007615FE"/>
    <w:rsid w:val="0076655C"/>
    <w:rsid w:val="007742DC"/>
    <w:rsid w:val="00791437"/>
    <w:rsid w:val="0079442A"/>
    <w:rsid w:val="007B0C2C"/>
    <w:rsid w:val="007B278E"/>
    <w:rsid w:val="007B5CA2"/>
    <w:rsid w:val="007C5C23"/>
    <w:rsid w:val="007E2A26"/>
    <w:rsid w:val="007F2348"/>
    <w:rsid w:val="007F4757"/>
    <w:rsid w:val="00803F07"/>
    <w:rsid w:val="0080749A"/>
    <w:rsid w:val="00821FB8"/>
    <w:rsid w:val="00822ACD"/>
    <w:rsid w:val="00845B3F"/>
    <w:rsid w:val="00855C66"/>
    <w:rsid w:val="00871EE4"/>
    <w:rsid w:val="00875A72"/>
    <w:rsid w:val="00889F3C"/>
    <w:rsid w:val="008954DF"/>
    <w:rsid w:val="008B293F"/>
    <w:rsid w:val="008B42B2"/>
    <w:rsid w:val="008B7371"/>
    <w:rsid w:val="008D1268"/>
    <w:rsid w:val="008D3DDB"/>
    <w:rsid w:val="008DB586"/>
    <w:rsid w:val="008F3B04"/>
    <w:rsid w:val="008F573F"/>
    <w:rsid w:val="009034EC"/>
    <w:rsid w:val="0091E06B"/>
    <w:rsid w:val="0093067A"/>
    <w:rsid w:val="00941C60"/>
    <w:rsid w:val="00941FD1"/>
    <w:rsid w:val="00950824"/>
    <w:rsid w:val="00956591"/>
    <w:rsid w:val="00966D42"/>
    <w:rsid w:val="00970D6A"/>
    <w:rsid w:val="00971689"/>
    <w:rsid w:val="0097170F"/>
    <w:rsid w:val="00973E90"/>
    <w:rsid w:val="00975B07"/>
    <w:rsid w:val="00980B4A"/>
    <w:rsid w:val="009B3E8A"/>
    <w:rsid w:val="009C6113"/>
    <w:rsid w:val="009E30E2"/>
    <w:rsid w:val="009E3D0A"/>
    <w:rsid w:val="009E51FC"/>
    <w:rsid w:val="009F1D28"/>
    <w:rsid w:val="009F7618"/>
    <w:rsid w:val="00A04D23"/>
    <w:rsid w:val="00A06766"/>
    <w:rsid w:val="00A13765"/>
    <w:rsid w:val="00A21B12"/>
    <w:rsid w:val="00A23666"/>
    <w:rsid w:val="00A23F80"/>
    <w:rsid w:val="00A25289"/>
    <w:rsid w:val="00A46E98"/>
    <w:rsid w:val="00A546EA"/>
    <w:rsid w:val="00A6352B"/>
    <w:rsid w:val="00A701B5"/>
    <w:rsid w:val="00A714BB"/>
    <w:rsid w:val="00A77147"/>
    <w:rsid w:val="00A92D8F"/>
    <w:rsid w:val="00AB2988"/>
    <w:rsid w:val="00AB7999"/>
    <w:rsid w:val="00AC3B2B"/>
    <w:rsid w:val="00AD3292"/>
    <w:rsid w:val="00AE1684"/>
    <w:rsid w:val="00AE7AF0"/>
    <w:rsid w:val="00B00FDF"/>
    <w:rsid w:val="00B27FFE"/>
    <w:rsid w:val="00B33114"/>
    <w:rsid w:val="00B44A6F"/>
    <w:rsid w:val="00B500CA"/>
    <w:rsid w:val="00B625AF"/>
    <w:rsid w:val="00B86314"/>
    <w:rsid w:val="00B93E4C"/>
    <w:rsid w:val="00BA1C2E"/>
    <w:rsid w:val="00BC200B"/>
    <w:rsid w:val="00BC4756"/>
    <w:rsid w:val="00BC69A4"/>
    <w:rsid w:val="00BC6EB2"/>
    <w:rsid w:val="00BD6181"/>
    <w:rsid w:val="00BE0680"/>
    <w:rsid w:val="00BE305F"/>
    <w:rsid w:val="00BE5AE6"/>
    <w:rsid w:val="00BE7BA3"/>
    <w:rsid w:val="00BF3872"/>
    <w:rsid w:val="00BF5682"/>
    <w:rsid w:val="00BF7B09"/>
    <w:rsid w:val="00C05260"/>
    <w:rsid w:val="00C076B9"/>
    <w:rsid w:val="00C20A95"/>
    <w:rsid w:val="00C2692F"/>
    <w:rsid w:val="00C3207C"/>
    <w:rsid w:val="00C400E1"/>
    <w:rsid w:val="00C41187"/>
    <w:rsid w:val="00C610E4"/>
    <w:rsid w:val="00C63C31"/>
    <w:rsid w:val="00C757A0"/>
    <w:rsid w:val="00C760DE"/>
    <w:rsid w:val="00C82630"/>
    <w:rsid w:val="00C85B4E"/>
    <w:rsid w:val="00C865BC"/>
    <w:rsid w:val="00C907F7"/>
    <w:rsid w:val="00C960C8"/>
    <w:rsid w:val="00CA2103"/>
    <w:rsid w:val="00CB21E8"/>
    <w:rsid w:val="00CB6B99"/>
    <w:rsid w:val="00CD27A1"/>
    <w:rsid w:val="00CD338E"/>
    <w:rsid w:val="00CD720A"/>
    <w:rsid w:val="00CE1399"/>
    <w:rsid w:val="00CE4C87"/>
    <w:rsid w:val="00CE544A"/>
    <w:rsid w:val="00CEF324"/>
    <w:rsid w:val="00CF52A8"/>
    <w:rsid w:val="00D05AB5"/>
    <w:rsid w:val="00D11E1C"/>
    <w:rsid w:val="00D160B0"/>
    <w:rsid w:val="00D17F94"/>
    <w:rsid w:val="00D223FC"/>
    <w:rsid w:val="00D26D1E"/>
    <w:rsid w:val="00D474CF"/>
    <w:rsid w:val="00D5547E"/>
    <w:rsid w:val="00D7259A"/>
    <w:rsid w:val="00D860E2"/>
    <w:rsid w:val="00D869A1"/>
    <w:rsid w:val="00D92539"/>
    <w:rsid w:val="00D946B5"/>
    <w:rsid w:val="00D947EE"/>
    <w:rsid w:val="00DA413F"/>
    <w:rsid w:val="00DA4584"/>
    <w:rsid w:val="00DA4C72"/>
    <w:rsid w:val="00DA614B"/>
    <w:rsid w:val="00DB54C3"/>
    <w:rsid w:val="00DB7AD7"/>
    <w:rsid w:val="00DC3060"/>
    <w:rsid w:val="00DE0FB2"/>
    <w:rsid w:val="00DF093E"/>
    <w:rsid w:val="00DF0A44"/>
    <w:rsid w:val="00E01F42"/>
    <w:rsid w:val="00E206D6"/>
    <w:rsid w:val="00E3366E"/>
    <w:rsid w:val="00E40FCE"/>
    <w:rsid w:val="00E52086"/>
    <w:rsid w:val="00E543A6"/>
    <w:rsid w:val="00E60479"/>
    <w:rsid w:val="00E61D73"/>
    <w:rsid w:val="00E73684"/>
    <w:rsid w:val="00E818D6"/>
    <w:rsid w:val="00E87F7A"/>
    <w:rsid w:val="00E94B3E"/>
    <w:rsid w:val="00E96BD7"/>
    <w:rsid w:val="00EA0DB1"/>
    <w:rsid w:val="00EA0EE9"/>
    <w:rsid w:val="00ED52CA"/>
    <w:rsid w:val="00ED5860"/>
    <w:rsid w:val="00EE35C9"/>
    <w:rsid w:val="00F0113F"/>
    <w:rsid w:val="00F05ECA"/>
    <w:rsid w:val="00F215EB"/>
    <w:rsid w:val="00F26E21"/>
    <w:rsid w:val="00F3566E"/>
    <w:rsid w:val="00F375FB"/>
    <w:rsid w:val="00F41863"/>
    <w:rsid w:val="00F41AC1"/>
    <w:rsid w:val="00F4367A"/>
    <w:rsid w:val="00F445B1"/>
    <w:rsid w:val="00F45CD4"/>
    <w:rsid w:val="00F66DCA"/>
    <w:rsid w:val="00F67F85"/>
    <w:rsid w:val="00F70798"/>
    <w:rsid w:val="00F74F53"/>
    <w:rsid w:val="00F7606D"/>
    <w:rsid w:val="00F81670"/>
    <w:rsid w:val="00F82024"/>
    <w:rsid w:val="00F865A3"/>
    <w:rsid w:val="00F95BC9"/>
    <w:rsid w:val="00FA624C"/>
    <w:rsid w:val="00FB3B71"/>
    <w:rsid w:val="00FC4449"/>
    <w:rsid w:val="00FD0FAC"/>
    <w:rsid w:val="00FD1DFA"/>
    <w:rsid w:val="00FD4966"/>
    <w:rsid w:val="00FE57DC"/>
    <w:rsid w:val="00FE7B37"/>
    <w:rsid w:val="00FF095A"/>
    <w:rsid w:val="010F882F"/>
    <w:rsid w:val="011CA329"/>
    <w:rsid w:val="01381922"/>
    <w:rsid w:val="013EA5E1"/>
    <w:rsid w:val="015D859B"/>
    <w:rsid w:val="016F2994"/>
    <w:rsid w:val="0170C123"/>
    <w:rsid w:val="017563EF"/>
    <w:rsid w:val="017EFCA9"/>
    <w:rsid w:val="018A059E"/>
    <w:rsid w:val="01A94E24"/>
    <w:rsid w:val="01BB26C5"/>
    <w:rsid w:val="01D98D15"/>
    <w:rsid w:val="01DB917D"/>
    <w:rsid w:val="02008586"/>
    <w:rsid w:val="022A140C"/>
    <w:rsid w:val="022D11D0"/>
    <w:rsid w:val="0238174C"/>
    <w:rsid w:val="027F700E"/>
    <w:rsid w:val="02955988"/>
    <w:rsid w:val="0296EDB8"/>
    <w:rsid w:val="029AD212"/>
    <w:rsid w:val="02C03BF0"/>
    <w:rsid w:val="03351CB7"/>
    <w:rsid w:val="034B8E6A"/>
    <w:rsid w:val="035A15A9"/>
    <w:rsid w:val="037DAEB5"/>
    <w:rsid w:val="03CEC9F3"/>
    <w:rsid w:val="03FC6464"/>
    <w:rsid w:val="0422B683"/>
    <w:rsid w:val="0425D998"/>
    <w:rsid w:val="04702E47"/>
    <w:rsid w:val="049577E0"/>
    <w:rsid w:val="04BD1E9A"/>
    <w:rsid w:val="04E4323F"/>
    <w:rsid w:val="04E43BB5"/>
    <w:rsid w:val="050973A3"/>
    <w:rsid w:val="05224595"/>
    <w:rsid w:val="0525A28E"/>
    <w:rsid w:val="05291422"/>
    <w:rsid w:val="0586E72D"/>
    <w:rsid w:val="05B026E6"/>
    <w:rsid w:val="05B94C3D"/>
    <w:rsid w:val="05E5732D"/>
    <w:rsid w:val="05FC3A33"/>
    <w:rsid w:val="06131054"/>
    <w:rsid w:val="06BE2A74"/>
    <w:rsid w:val="06DFDC22"/>
    <w:rsid w:val="06F352A0"/>
    <w:rsid w:val="070DEA61"/>
    <w:rsid w:val="0720BE18"/>
    <w:rsid w:val="07542CF0"/>
    <w:rsid w:val="075D2D0E"/>
    <w:rsid w:val="075D75FE"/>
    <w:rsid w:val="0765F851"/>
    <w:rsid w:val="078EBFDD"/>
    <w:rsid w:val="079A6D64"/>
    <w:rsid w:val="07A0EFAF"/>
    <w:rsid w:val="07A5EF02"/>
    <w:rsid w:val="07B3DE10"/>
    <w:rsid w:val="07B9FA72"/>
    <w:rsid w:val="07CACE42"/>
    <w:rsid w:val="07D3D5F5"/>
    <w:rsid w:val="07D434D5"/>
    <w:rsid w:val="07D58026"/>
    <w:rsid w:val="080333B2"/>
    <w:rsid w:val="081A39C3"/>
    <w:rsid w:val="0822B9E4"/>
    <w:rsid w:val="085DE235"/>
    <w:rsid w:val="08626A22"/>
    <w:rsid w:val="08630CEC"/>
    <w:rsid w:val="08A59323"/>
    <w:rsid w:val="08DA4393"/>
    <w:rsid w:val="08DCABF1"/>
    <w:rsid w:val="08E748A2"/>
    <w:rsid w:val="08F12F56"/>
    <w:rsid w:val="0942B21E"/>
    <w:rsid w:val="095A40FA"/>
    <w:rsid w:val="096549E0"/>
    <w:rsid w:val="09671450"/>
    <w:rsid w:val="096B8BF3"/>
    <w:rsid w:val="097D4077"/>
    <w:rsid w:val="09980D5E"/>
    <w:rsid w:val="09A6B79E"/>
    <w:rsid w:val="09D13202"/>
    <w:rsid w:val="09D56FC2"/>
    <w:rsid w:val="09D8F4EF"/>
    <w:rsid w:val="09F60868"/>
    <w:rsid w:val="0A531CBE"/>
    <w:rsid w:val="0A554668"/>
    <w:rsid w:val="0A5556EF"/>
    <w:rsid w:val="0A8A57C7"/>
    <w:rsid w:val="0A979F45"/>
    <w:rsid w:val="0A99827B"/>
    <w:rsid w:val="0ADFD413"/>
    <w:rsid w:val="0AEAD29A"/>
    <w:rsid w:val="0AFF8333"/>
    <w:rsid w:val="0B007FA0"/>
    <w:rsid w:val="0B0D990A"/>
    <w:rsid w:val="0B47D224"/>
    <w:rsid w:val="0B551995"/>
    <w:rsid w:val="0B89A7FD"/>
    <w:rsid w:val="0BA96C9A"/>
    <w:rsid w:val="0BCE730E"/>
    <w:rsid w:val="0BDA963D"/>
    <w:rsid w:val="0C08E06D"/>
    <w:rsid w:val="0C4332AB"/>
    <w:rsid w:val="0C4BE2A6"/>
    <w:rsid w:val="0C4C918D"/>
    <w:rsid w:val="0C77C589"/>
    <w:rsid w:val="0C796BCF"/>
    <w:rsid w:val="0C7CD83C"/>
    <w:rsid w:val="0C937749"/>
    <w:rsid w:val="0CA61D4B"/>
    <w:rsid w:val="0CAD26FF"/>
    <w:rsid w:val="0CAE3DC8"/>
    <w:rsid w:val="0CB5EB4E"/>
    <w:rsid w:val="0CCC32B1"/>
    <w:rsid w:val="0CEACEDE"/>
    <w:rsid w:val="0CFB443C"/>
    <w:rsid w:val="0D0E2400"/>
    <w:rsid w:val="0D0E3DA8"/>
    <w:rsid w:val="0D24FB16"/>
    <w:rsid w:val="0D7D9732"/>
    <w:rsid w:val="0D87DF2C"/>
    <w:rsid w:val="0DA37B12"/>
    <w:rsid w:val="0DEDBA42"/>
    <w:rsid w:val="0DFD9F7B"/>
    <w:rsid w:val="0E03A6BB"/>
    <w:rsid w:val="0E0F3AE8"/>
    <w:rsid w:val="0E137018"/>
    <w:rsid w:val="0E44737F"/>
    <w:rsid w:val="0E5AB037"/>
    <w:rsid w:val="0ECD8498"/>
    <w:rsid w:val="0EE69302"/>
    <w:rsid w:val="0EED1225"/>
    <w:rsid w:val="0EF75A2B"/>
    <w:rsid w:val="0EFCF3CB"/>
    <w:rsid w:val="0F11A142"/>
    <w:rsid w:val="0F2183FB"/>
    <w:rsid w:val="0F4EADA1"/>
    <w:rsid w:val="0F519E25"/>
    <w:rsid w:val="0F988A4D"/>
    <w:rsid w:val="0FAF0F34"/>
    <w:rsid w:val="0FB8D542"/>
    <w:rsid w:val="0FB9297F"/>
    <w:rsid w:val="0FED4E58"/>
    <w:rsid w:val="0FF07A2F"/>
    <w:rsid w:val="0FFEA7A5"/>
    <w:rsid w:val="102EB743"/>
    <w:rsid w:val="107AA0CE"/>
    <w:rsid w:val="107F5979"/>
    <w:rsid w:val="109446CB"/>
    <w:rsid w:val="109B5953"/>
    <w:rsid w:val="10B51969"/>
    <w:rsid w:val="112D77B1"/>
    <w:rsid w:val="112E374D"/>
    <w:rsid w:val="116824CF"/>
    <w:rsid w:val="11771C7E"/>
    <w:rsid w:val="117DE885"/>
    <w:rsid w:val="1181C5E3"/>
    <w:rsid w:val="118E259D"/>
    <w:rsid w:val="1197978A"/>
    <w:rsid w:val="119D465B"/>
    <w:rsid w:val="11B144C4"/>
    <w:rsid w:val="11D819CB"/>
    <w:rsid w:val="11DE2519"/>
    <w:rsid w:val="1215B79D"/>
    <w:rsid w:val="121F1185"/>
    <w:rsid w:val="123913D6"/>
    <w:rsid w:val="1250235A"/>
    <w:rsid w:val="1281B2BA"/>
    <w:rsid w:val="12C03309"/>
    <w:rsid w:val="12E25167"/>
    <w:rsid w:val="12F0A8A9"/>
    <w:rsid w:val="12F756FA"/>
    <w:rsid w:val="13122336"/>
    <w:rsid w:val="13289F3A"/>
    <w:rsid w:val="13338FE5"/>
    <w:rsid w:val="135ADCC4"/>
    <w:rsid w:val="135F3D31"/>
    <w:rsid w:val="1379C18C"/>
    <w:rsid w:val="13E5B31C"/>
    <w:rsid w:val="13EFCD08"/>
    <w:rsid w:val="13F05A80"/>
    <w:rsid w:val="1438EA90"/>
    <w:rsid w:val="144C30A8"/>
    <w:rsid w:val="1450C349"/>
    <w:rsid w:val="1471C545"/>
    <w:rsid w:val="147FC829"/>
    <w:rsid w:val="149FB96F"/>
    <w:rsid w:val="14A64460"/>
    <w:rsid w:val="14B76196"/>
    <w:rsid w:val="14DBB1F1"/>
    <w:rsid w:val="150E6135"/>
    <w:rsid w:val="1525D048"/>
    <w:rsid w:val="155E7B85"/>
    <w:rsid w:val="1561B2B3"/>
    <w:rsid w:val="158DD474"/>
    <w:rsid w:val="163179AE"/>
    <w:rsid w:val="164F315B"/>
    <w:rsid w:val="1682E9C1"/>
    <w:rsid w:val="16832466"/>
    <w:rsid w:val="16C788FA"/>
    <w:rsid w:val="16C7C203"/>
    <w:rsid w:val="1707BAC0"/>
    <w:rsid w:val="17427973"/>
    <w:rsid w:val="1764C171"/>
    <w:rsid w:val="176C9787"/>
    <w:rsid w:val="1772EA31"/>
    <w:rsid w:val="17A37D85"/>
    <w:rsid w:val="17AA6AAF"/>
    <w:rsid w:val="17AF9C79"/>
    <w:rsid w:val="17B0EA5B"/>
    <w:rsid w:val="17B7B0E8"/>
    <w:rsid w:val="17B94715"/>
    <w:rsid w:val="17C968C8"/>
    <w:rsid w:val="17D56586"/>
    <w:rsid w:val="17DAF647"/>
    <w:rsid w:val="17EA09C4"/>
    <w:rsid w:val="17FFF518"/>
    <w:rsid w:val="1802B1BC"/>
    <w:rsid w:val="181E05C0"/>
    <w:rsid w:val="1861447B"/>
    <w:rsid w:val="186AD028"/>
    <w:rsid w:val="187CEEE6"/>
    <w:rsid w:val="18A7E458"/>
    <w:rsid w:val="18B12936"/>
    <w:rsid w:val="18BC1EB7"/>
    <w:rsid w:val="18CE51AC"/>
    <w:rsid w:val="18F940A1"/>
    <w:rsid w:val="19015AB8"/>
    <w:rsid w:val="194CA353"/>
    <w:rsid w:val="195C3295"/>
    <w:rsid w:val="195FC377"/>
    <w:rsid w:val="1974CA7B"/>
    <w:rsid w:val="198CB08D"/>
    <w:rsid w:val="19CE5C51"/>
    <w:rsid w:val="19D938D8"/>
    <w:rsid w:val="1A1BBC3A"/>
    <w:rsid w:val="1A28DC9D"/>
    <w:rsid w:val="1A2A2AEA"/>
    <w:rsid w:val="1A304662"/>
    <w:rsid w:val="1A57F3C3"/>
    <w:rsid w:val="1A6F2AF2"/>
    <w:rsid w:val="1AC8575F"/>
    <w:rsid w:val="1AD1AEC8"/>
    <w:rsid w:val="1AD5B4C2"/>
    <w:rsid w:val="1B1FE94F"/>
    <w:rsid w:val="1B20AF77"/>
    <w:rsid w:val="1B3B8BC7"/>
    <w:rsid w:val="1B6A1452"/>
    <w:rsid w:val="1B87E1FF"/>
    <w:rsid w:val="1B92184E"/>
    <w:rsid w:val="1BC0B843"/>
    <w:rsid w:val="1BD58D5A"/>
    <w:rsid w:val="1BDE6ACD"/>
    <w:rsid w:val="1C5119A9"/>
    <w:rsid w:val="1C616F04"/>
    <w:rsid w:val="1C62DB68"/>
    <w:rsid w:val="1CD140B2"/>
    <w:rsid w:val="1CE4E50D"/>
    <w:rsid w:val="1D1900CC"/>
    <w:rsid w:val="1DA8245E"/>
    <w:rsid w:val="1DB3E655"/>
    <w:rsid w:val="1DEA4446"/>
    <w:rsid w:val="1E1EB343"/>
    <w:rsid w:val="1E2AA5CE"/>
    <w:rsid w:val="1E2E56DB"/>
    <w:rsid w:val="1E348A27"/>
    <w:rsid w:val="1E50ECC3"/>
    <w:rsid w:val="1E591A5A"/>
    <w:rsid w:val="1E62D7A7"/>
    <w:rsid w:val="1E69F40D"/>
    <w:rsid w:val="1E6BDD13"/>
    <w:rsid w:val="1E6D56B9"/>
    <w:rsid w:val="1E78A4EE"/>
    <w:rsid w:val="1E900AC6"/>
    <w:rsid w:val="1E9DD529"/>
    <w:rsid w:val="1EA2156B"/>
    <w:rsid w:val="1EC1AD99"/>
    <w:rsid w:val="1EC2182B"/>
    <w:rsid w:val="1ECFC6A9"/>
    <w:rsid w:val="1F17276A"/>
    <w:rsid w:val="1F21D569"/>
    <w:rsid w:val="1F34A721"/>
    <w:rsid w:val="1F37A069"/>
    <w:rsid w:val="1F54137E"/>
    <w:rsid w:val="1F675BEA"/>
    <w:rsid w:val="1F79A93F"/>
    <w:rsid w:val="1F916FF6"/>
    <w:rsid w:val="1F9D3332"/>
    <w:rsid w:val="1FA5818C"/>
    <w:rsid w:val="1FAA7672"/>
    <w:rsid w:val="1FBC3E72"/>
    <w:rsid w:val="1FC4C457"/>
    <w:rsid w:val="1FCB0480"/>
    <w:rsid w:val="1FCEBFA1"/>
    <w:rsid w:val="1FE0A50B"/>
    <w:rsid w:val="1FE64755"/>
    <w:rsid w:val="20272382"/>
    <w:rsid w:val="205C095F"/>
    <w:rsid w:val="2074A85A"/>
    <w:rsid w:val="2093490F"/>
    <w:rsid w:val="20948BA3"/>
    <w:rsid w:val="20A714E5"/>
    <w:rsid w:val="20E0638E"/>
    <w:rsid w:val="2124A729"/>
    <w:rsid w:val="214F64AD"/>
    <w:rsid w:val="218B9089"/>
    <w:rsid w:val="21B1A342"/>
    <w:rsid w:val="21CC4E3E"/>
    <w:rsid w:val="21D0C135"/>
    <w:rsid w:val="21E1F20A"/>
    <w:rsid w:val="21F76047"/>
    <w:rsid w:val="2223AADA"/>
    <w:rsid w:val="222638C9"/>
    <w:rsid w:val="222BC9E8"/>
    <w:rsid w:val="22426311"/>
    <w:rsid w:val="22601A0E"/>
    <w:rsid w:val="2283B8DA"/>
    <w:rsid w:val="229F320D"/>
    <w:rsid w:val="22AAD03A"/>
    <w:rsid w:val="22F0553C"/>
    <w:rsid w:val="22F5B5FF"/>
    <w:rsid w:val="22FCD994"/>
    <w:rsid w:val="232CEA9D"/>
    <w:rsid w:val="2341E5C0"/>
    <w:rsid w:val="2371AD0F"/>
    <w:rsid w:val="237EBB2D"/>
    <w:rsid w:val="238A6E87"/>
    <w:rsid w:val="239841F6"/>
    <w:rsid w:val="23A8E084"/>
    <w:rsid w:val="23E5D8CD"/>
    <w:rsid w:val="23E84827"/>
    <w:rsid w:val="23F7A519"/>
    <w:rsid w:val="2416C099"/>
    <w:rsid w:val="2424A093"/>
    <w:rsid w:val="2433875E"/>
    <w:rsid w:val="243A2027"/>
    <w:rsid w:val="24499DDC"/>
    <w:rsid w:val="244FD3D6"/>
    <w:rsid w:val="2464FE59"/>
    <w:rsid w:val="248B990C"/>
    <w:rsid w:val="249A7120"/>
    <w:rsid w:val="249A9663"/>
    <w:rsid w:val="249B7B7F"/>
    <w:rsid w:val="24A77C9C"/>
    <w:rsid w:val="24AA93AA"/>
    <w:rsid w:val="24AB73BE"/>
    <w:rsid w:val="24AD7ED9"/>
    <w:rsid w:val="24B994C8"/>
    <w:rsid w:val="24BD6A58"/>
    <w:rsid w:val="24C13EC0"/>
    <w:rsid w:val="24CCBC88"/>
    <w:rsid w:val="24DBCE43"/>
    <w:rsid w:val="24E63A0F"/>
    <w:rsid w:val="253BDE2D"/>
    <w:rsid w:val="254A21E8"/>
    <w:rsid w:val="2550CD7D"/>
    <w:rsid w:val="256E4864"/>
    <w:rsid w:val="2570FBBB"/>
    <w:rsid w:val="2586A3B1"/>
    <w:rsid w:val="25938C3B"/>
    <w:rsid w:val="25C8DF4C"/>
    <w:rsid w:val="25E709E9"/>
    <w:rsid w:val="263360B7"/>
    <w:rsid w:val="26355067"/>
    <w:rsid w:val="263A1246"/>
    <w:rsid w:val="265359D5"/>
    <w:rsid w:val="26536C96"/>
    <w:rsid w:val="266A8CE3"/>
    <w:rsid w:val="266C9060"/>
    <w:rsid w:val="2670FDAF"/>
    <w:rsid w:val="26815503"/>
    <w:rsid w:val="269FCD69"/>
    <w:rsid w:val="26C04409"/>
    <w:rsid w:val="26DB473E"/>
    <w:rsid w:val="26DF0588"/>
    <w:rsid w:val="27017975"/>
    <w:rsid w:val="27296229"/>
    <w:rsid w:val="272A3BA7"/>
    <w:rsid w:val="27303141"/>
    <w:rsid w:val="27395084"/>
    <w:rsid w:val="276B4273"/>
    <w:rsid w:val="277154A2"/>
    <w:rsid w:val="2777C7DF"/>
    <w:rsid w:val="2782CE7B"/>
    <w:rsid w:val="2784E880"/>
    <w:rsid w:val="278ACBEA"/>
    <w:rsid w:val="278EC6E8"/>
    <w:rsid w:val="279F3BF5"/>
    <w:rsid w:val="27C69AE0"/>
    <w:rsid w:val="28288371"/>
    <w:rsid w:val="282C914F"/>
    <w:rsid w:val="282F5C31"/>
    <w:rsid w:val="283C155C"/>
    <w:rsid w:val="28546D12"/>
    <w:rsid w:val="2870F100"/>
    <w:rsid w:val="2875A525"/>
    <w:rsid w:val="287DB2F1"/>
    <w:rsid w:val="288D8889"/>
    <w:rsid w:val="28AAA9AB"/>
    <w:rsid w:val="28B164E8"/>
    <w:rsid w:val="28BDD344"/>
    <w:rsid w:val="28D667CA"/>
    <w:rsid w:val="28F474CC"/>
    <w:rsid w:val="291AB05A"/>
    <w:rsid w:val="29232067"/>
    <w:rsid w:val="292C8548"/>
    <w:rsid w:val="2939ADD0"/>
    <w:rsid w:val="2948202F"/>
    <w:rsid w:val="297FAE1F"/>
    <w:rsid w:val="29894939"/>
    <w:rsid w:val="29953000"/>
    <w:rsid w:val="2997E403"/>
    <w:rsid w:val="29B1AE00"/>
    <w:rsid w:val="29C10202"/>
    <w:rsid w:val="2A0DCF51"/>
    <w:rsid w:val="2A38259D"/>
    <w:rsid w:val="2A3C997D"/>
    <w:rsid w:val="2A6A4E9D"/>
    <w:rsid w:val="2A6C4DA4"/>
    <w:rsid w:val="2A8FA211"/>
    <w:rsid w:val="2A98EBDC"/>
    <w:rsid w:val="2AACF334"/>
    <w:rsid w:val="2AB106A4"/>
    <w:rsid w:val="2AB2C9C5"/>
    <w:rsid w:val="2AD3DBCD"/>
    <w:rsid w:val="2AD49F33"/>
    <w:rsid w:val="2ADC353F"/>
    <w:rsid w:val="2AF44E10"/>
    <w:rsid w:val="2B18FE1A"/>
    <w:rsid w:val="2B37F7B4"/>
    <w:rsid w:val="2B3E39D4"/>
    <w:rsid w:val="2B4B30D1"/>
    <w:rsid w:val="2B538E51"/>
    <w:rsid w:val="2B676AD1"/>
    <w:rsid w:val="2B87C88D"/>
    <w:rsid w:val="2BC15A18"/>
    <w:rsid w:val="2BF00A42"/>
    <w:rsid w:val="2C189BAE"/>
    <w:rsid w:val="2C195899"/>
    <w:rsid w:val="2C33FEAA"/>
    <w:rsid w:val="2C3CA3A6"/>
    <w:rsid w:val="2C54A3D8"/>
    <w:rsid w:val="2C858C68"/>
    <w:rsid w:val="2C9094BF"/>
    <w:rsid w:val="2CA51828"/>
    <w:rsid w:val="2CA563F4"/>
    <w:rsid w:val="2CAA9271"/>
    <w:rsid w:val="2CF77D3F"/>
    <w:rsid w:val="2CFC7B2A"/>
    <w:rsid w:val="2D27466E"/>
    <w:rsid w:val="2D6BE224"/>
    <w:rsid w:val="2D74CC91"/>
    <w:rsid w:val="2D8E46F0"/>
    <w:rsid w:val="2D992552"/>
    <w:rsid w:val="2DA65171"/>
    <w:rsid w:val="2DA7045E"/>
    <w:rsid w:val="2DB348F1"/>
    <w:rsid w:val="2DC2B855"/>
    <w:rsid w:val="2DD1B4CC"/>
    <w:rsid w:val="2DD50F66"/>
    <w:rsid w:val="2E004BC2"/>
    <w:rsid w:val="2E106C4F"/>
    <w:rsid w:val="2E21D63E"/>
    <w:rsid w:val="2E3EAD4A"/>
    <w:rsid w:val="2E5A12B2"/>
    <w:rsid w:val="2E6EC8A8"/>
    <w:rsid w:val="2E8CAE7C"/>
    <w:rsid w:val="2E90551A"/>
    <w:rsid w:val="2EA3F2BB"/>
    <w:rsid w:val="2EC31994"/>
    <w:rsid w:val="2F2C9182"/>
    <w:rsid w:val="2F3C854A"/>
    <w:rsid w:val="2F50A672"/>
    <w:rsid w:val="2F8D86D3"/>
    <w:rsid w:val="2FA758C2"/>
    <w:rsid w:val="2FC20803"/>
    <w:rsid w:val="2FEFEA4E"/>
    <w:rsid w:val="2FF28F3D"/>
    <w:rsid w:val="300F81CB"/>
    <w:rsid w:val="30110C0E"/>
    <w:rsid w:val="3019FD6E"/>
    <w:rsid w:val="305356C0"/>
    <w:rsid w:val="306379EE"/>
    <w:rsid w:val="308FF0B0"/>
    <w:rsid w:val="30A7BB98"/>
    <w:rsid w:val="30B279AC"/>
    <w:rsid w:val="30CC8792"/>
    <w:rsid w:val="30E49677"/>
    <w:rsid w:val="30ED75D6"/>
    <w:rsid w:val="30EF5E57"/>
    <w:rsid w:val="31219C0C"/>
    <w:rsid w:val="3134A270"/>
    <w:rsid w:val="313DE339"/>
    <w:rsid w:val="313F2E18"/>
    <w:rsid w:val="314FA185"/>
    <w:rsid w:val="314FD64F"/>
    <w:rsid w:val="315DE6D4"/>
    <w:rsid w:val="3184FDC7"/>
    <w:rsid w:val="3185FC10"/>
    <w:rsid w:val="319756EE"/>
    <w:rsid w:val="31BDAE10"/>
    <w:rsid w:val="31EF784E"/>
    <w:rsid w:val="31F67990"/>
    <w:rsid w:val="32015D00"/>
    <w:rsid w:val="3216386C"/>
    <w:rsid w:val="32255B62"/>
    <w:rsid w:val="324BF958"/>
    <w:rsid w:val="32622878"/>
    <w:rsid w:val="326AF0E0"/>
    <w:rsid w:val="32C44CEF"/>
    <w:rsid w:val="32D36E97"/>
    <w:rsid w:val="32D67D50"/>
    <w:rsid w:val="32EEF7BE"/>
    <w:rsid w:val="3323D874"/>
    <w:rsid w:val="3364B972"/>
    <w:rsid w:val="338079DF"/>
    <w:rsid w:val="33825E9B"/>
    <w:rsid w:val="3384F2CD"/>
    <w:rsid w:val="33951714"/>
    <w:rsid w:val="33A7B35C"/>
    <w:rsid w:val="33A85C3F"/>
    <w:rsid w:val="33C8C2FF"/>
    <w:rsid w:val="33CECB7F"/>
    <w:rsid w:val="3420A467"/>
    <w:rsid w:val="3420C61D"/>
    <w:rsid w:val="344BA6D8"/>
    <w:rsid w:val="3452EDE8"/>
    <w:rsid w:val="34A252B7"/>
    <w:rsid w:val="34C5ADE6"/>
    <w:rsid w:val="34DD1F2B"/>
    <w:rsid w:val="34E3004B"/>
    <w:rsid w:val="34ECE2A5"/>
    <w:rsid w:val="3505543D"/>
    <w:rsid w:val="3516E07A"/>
    <w:rsid w:val="3531AEA2"/>
    <w:rsid w:val="35425411"/>
    <w:rsid w:val="355C1A82"/>
    <w:rsid w:val="3582132E"/>
    <w:rsid w:val="35A36B5C"/>
    <w:rsid w:val="35AD164C"/>
    <w:rsid w:val="35E68B5F"/>
    <w:rsid w:val="36040666"/>
    <w:rsid w:val="360D0763"/>
    <w:rsid w:val="3638CF6E"/>
    <w:rsid w:val="364800BA"/>
    <w:rsid w:val="36738C09"/>
    <w:rsid w:val="3678E3D6"/>
    <w:rsid w:val="369AD185"/>
    <w:rsid w:val="36A34301"/>
    <w:rsid w:val="36B525DD"/>
    <w:rsid w:val="36BFB58A"/>
    <w:rsid w:val="36D8C8FA"/>
    <w:rsid w:val="36F0CF8C"/>
    <w:rsid w:val="3711B974"/>
    <w:rsid w:val="372E7D8C"/>
    <w:rsid w:val="3742E73C"/>
    <w:rsid w:val="37457E61"/>
    <w:rsid w:val="37859C10"/>
    <w:rsid w:val="37DD0876"/>
    <w:rsid w:val="3817B51D"/>
    <w:rsid w:val="3849889C"/>
    <w:rsid w:val="38640BD1"/>
    <w:rsid w:val="38755864"/>
    <w:rsid w:val="389256C5"/>
    <w:rsid w:val="38A3E8C6"/>
    <w:rsid w:val="38C206AB"/>
    <w:rsid w:val="38C4BD77"/>
    <w:rsid w:val="38D372FD"/>
    <w:rsid w:val="38FC16D5"/>
    <w:rsid w:val="39048287"/>
    <w:rsid w:val="39062D7E"/>
    <w:rsid w:val="390FF6D4"/>
    <w:rsid w:val="39136B42"/>
    <w:rsid w:val="3925F301"/>
    <w:rsid w:val="39365108"/>
    <w:rsid w:val="393F0752"/>
    <w:rsid w:val="39599B9D"/>
    <w:rsid w:val="398393D5"/>
    <w:rsid w:val="3996C1E9"/>
    <w:rsid w:val="39B77D04"/>
    <w:rsid w:val="39C09AA1"/>
    <w:rsid w:val="39E3A7CE"/>
    <w:rsid w:val="39E5E30D"/>
    <w:rsid w:val="3A0122E8"/>
    <w:rsid w:val="3A028991"/>
    <w:rsid w:val="3A100E82"/>
    <w:rsid w:val="3A1580BC"/>
    <w:rsid w:val="3A32380F"/>
    <w:rsid w:val="3A680A7F"/>
    <w:rsid w:val="3A6B2FA2"/>
    <w:rsid w:val="3A7B81E5"/>
    <w:rsid w:val="3A8082D8"/>
    <w:rsid w:val="3AA255FD"/>
    <w:rsid w:val="3AB7E4D6"/>
    <w:rsid w:val="3AC495CB"/>
    <w:rsid w:val="3ADC868B"/>
    <w:rsid w:val="3AE56349"/>
    <w:rsid w:val="3AE9B67A"/>
    <w:rsid w:val="3B389D12"/>
    <w:rsid w:val="3B53542B"/>
    <w:rsid w:val="3B64017F"/>
    <w:rsid w:val="3B70D0F4"/>
    <w:rsid w:val="3B714562"/>
    <w:rsid w:val="3B732616"/>
    <w:rsid w:val="3B87AF51"/>
    <w:rsid w:val="3BB43EC8"/>
    <w:rsid w:val="3BC25E3C"/>
    <w:rsid w:val="3BDDE013"/>
    <w:rsid w:val="3BF4AC39"/>
    <w:rsid w:val="3C0DB1FF"/>
    <w:rsid w:val="3C4EC29A"/>
    <w:rsid w:val="3C61AF5C"/>
    <w:rsid w:val="3C64E64D"/>
    <w:rsid w:val="3C70EC4B"/>
    <w:rsid w:val="3C8AD7F3"/>
    <w:rsid w:val="3C908ABA"/>
    <w:rsid w:val="3C9559B9"/>
    <w:rsid w:val="3C9DFA28"/>
    <w:rsid w:val="3CA417B9"/>
    <w:rsid w:val="3CD31A07"/>
    <w:rsid w:val="3CE4B541"/>
    <w:rsid w:val="3CF2160F"/>
    <w:rsid w:val="3D078E15"/>
    <w:rsid w:val="3D0AED3B"/>
    <w:rsid w:val="3D300800"/>
    <w:rsid w:val="3D396E79"/>
    <w:rsid w:val="3D59DDCC"/>
    <w:rsid w:val="3D75EE1D"/>
    <w:rsid w:val="3D772CDB"/>
    <w:rsid w:val="3D80CA96"/>
    <w:rsid w:val="3D89C845"/>
    <w:rsid w:val="3D93DF71"/>
    <w:rsid w:val="3D9F5385"/>
    <w:rsid w:val="3DB79199"/>
    <w:rsid w:val="3DBE0E28"/>
    <w:rsid w:val="3DC8B43F"/>
    <w:rsid w:val="3DF1CC93"/>
    <w:rsid w:val="3E2B3501"/>
    <w:rsid w:val="3E674D6D"/>
    <w:rsid w:val="3E67F872"/>
    <w:rsid w:val="3E721971"/>
    <w:rsid w:val="3E797920"/>
    <w:rsid w:val="3E7CDB55"/>
    <w:rsid w:val="3E8807DB"/>
    <w:rsid w:val="3ECAF32B"/>
    <w:rsid w:val="3ECC9544"/>
    <w:rsid w:val="3EEB9FA6"/>
    <w:rsid w:val="3F05D1D1"/>
    <w:rsid w:val="3F1B62AD"/>
    <w:rsid w:val="3F373D71"/>
    <w:rsid w:val="3F38FC0C"/>
    <w:rsid w:val="3F5FAE77"/>
    <w:rsid w:val="3F857271"/>
    <w:rsid w:val="3F85F91E"/>
    <w:rsid w:val="3F90871E"/>
    <w:rsid w:val="3FE34DB3"/>
    <w:rsid w:val="40102D44"/>
    <w:rsid w:val="401F8619"/>
    <w:rsid w:val="4030F9D4"/>
    <w:rsid w:val="40313C34"/>
    <w:rsid w:val="406A9220"/>
    <w:rsid w:val="4077366D"/>
    <w:rsid w:val="40A32284"/>
    <w:rsid w:val="40A847CB"/>
    <w:rsid w:val="4117CA4E"/>
    <w:rsid w:val="41610D27"/>
    <w:rsid w:val="4165F553"/>
    <w:rsid w:val="417B9786"/>
    <w:rsid w:val="41841303"/>
    <w:rsid w:val="41846CE0"/>
    <w:rsid w:val="41B63050"/>
    <w:rsid w:val="41C3DFCC"/>
    <w:rsid w:val="421ED252"/>
    <w:rsid w:val="4227DF53"/>
    <w:rsid w:val="4235D8E2"/>
    <w:rsid w:val="424A3722"/>
    <w:rsid w:val="42625762"/>
    <w:rsid w:val="426EA48E"/>
    <w:rsid w:val="42744CE3"/>
    <w:rsid w:val="4299922A"/>
    <w:rsid w:val="429B15A5"/>
    <w:rsid w:val="429F0C75"/>
    <w:rsid w:val="42AC06AC"/>
    <w:rsid w:val="42CB8E67"/>
    <w:rsid w:val="42E61C2D"/>
    <w:rsid w:val="42EEB1A6"/>
    <w:rsid w:val="42F66869"/>
    <w:rsid w:val="42FB5043"/>
    <w:rsid w:val="431C3BF6"/>
    <w:rsid w:val="432699B6"/>
    <w:rsid w:val="43498130"/>
    <w:rsid w:val="434E6A54"/>
    <w:rsid w:val="43692363"/>
    <w:rsid w:val="4381CBEB"/>
    <w:rsid w:val="43932BDF"/>
    <w:rsid w:val="43C2208C"/>
    <w:rsid w:val="43D4F422"/>
    <w:rsid w:val="43E3342C"/>
    <w:rsid w:val="43EA0046"/>
    <w:rsid w:val="43EECECB"/>
    <w:rsid w:val="43F42839"/>
    <w:rsid w:val="43F4F789"/>
    <w:rsid w:val="4404F920"/>
    <w:rsid w:val="446F3CAA"/>
    <w:rsid w:val="4495C554"/>
    <w:rsid w:val="44A078FE"/>
    <w:rsid w:val="44AEBB5B"/>
    <w:rsid w:val="44B5F2E4"/>
    <w:rsid w:val="44BB3D99"/>
    <w:rsid w:val="44E8A601"/>
    <w:rsid w:val="45099EC9"/>
    <w:rsid w:val="45305D9E"/>
    <w:rsid w:val="4567A6F7"/>
    <w:rsid w:val="456FF37D"/>
    <w:rsid w:val="457AE21E"/>
    <w:rsid w:val="457E9AF0"/>
    <w:rsid w:val="45B77340"/>
    <w:rsid w:val="45C1DB54"/>
    <w:rsid w:val="45C4051D"/>
    <w:rsid w:val="45C68E43"/>
    <w:rsid w:val="45E3C5D3"/>
    <w:rsid w:val="45EC90B7"/>
    <w:rsid w:val="45F79258"/>
    <w:rsid w:val="46832B6C"/>
    <w:rsid w:val="469222A8"/>
    <w:rsid w:val="46AE388F"/>
    <w:rsid w:val="46E08847"/>
    <w:rsid w:val="46E14857"/>
    <w:rsid w:val="470D1775"/>
    <w:rsid w:val="470FD946"/>
    <w:rsid w:val="472008E0"/>
    <w:rsid w:val="47265693"/>
    <w:rsid w:val="474A8D6F"/>
    <w:rsid w:val="477625A4"/>
    <w:rsid w:val="477F885F"/>
    <w:rsid w:val="478C6CD6"/>
    <w:rsid w:val="47A9F3AA"/>
    <w:rsid w:val="47DD5E94"/>
    <w:rsid w:val="480FECD5"/>
    <w:rsid w:val="48404D98"/>
    <w:rsid w:val="484B763C"/>
    <w:rsid w:val="4850B8BF"/>
    <w:rsid w:val="4851BA0A"/>
    <w:rsid w:val="48690B99"/>
    <w:rsid w:val="488CF7C3"/>
    <w:rsid w:val="48A5A095"/>
    <w:rsid w:val="48AA7C45"/>
    <w:rsid w:val="48EF1E40"/>
    <w:rsid w:val="48F14007"/>
    <w:rsid w:val="4901CFE4"/>
    <w:rsid w:val="493286EF"/>
    <w:rsid w:val="4947F6EA"/>
    <w:rsid w:val="496E2B30"/>
    <w:rsid w:val="49921124"/>
    <w:rsid w:val="49BBAE1F"/>
    <w:rsid w:val="49CD9B04"/>
    <w:rsid w:val="49D222B9"/>
    <w:rsid w:val="49EE9890"/>
    <w:rsid w:val="49EFE7E9"/>
    <w:rsid w:val="49FE083E"/>
    <w:rsid w:val="49FE4D7A"/>
    <w:rsid w:val="4A4B7C7C"/>
    <w:rsid w:val="4A5DAA48"/>
    <w:rsid w:val="4A7E78AF"/>
    <w:rsid w:val="4A90B169"/>
    <w:rsid w:val="4AB37615"/>
    <w:rsid w:val="4AD68B5A"/>
    <w:rsid w:val="4AE3210F"/>
    <w:rsid w:val="4B07BB9C"/>
    <w:rsid w:val="4B0DE950"/>
    <w:rsid w:val="4B1707BE"/>
    <w:rsid w:val="4B313694"/>
    <w:rsid w:val="4B323A8E"/>
    <w:rsid w:val="4B3ECFA6"/>
    <w:rsid w:val="4B441B44"/>
    <w:rsid w:val="4B627401"/>
    <w:rsid w:val="4B687270"/>
    <w:rsid w:val="4B7C8AB5"/>
    <w:rsid w:val="4B7E31BB"/>
    <w:rsid w:val="4B88A561"/>
    <w:rsid w:val="4B905131"/>
    <w:rsid w:val="4B90CB5F"/>
    <w:rsid w:val="4BAF34E9"/>
    <w:rsid w:val="4BD3738E"/>
    <w:rsid w:val="4BE3F31B"/>
    <w:rsid w:val="4BE856CE"/>
    <w:rsid w:val="4BEC7A67"/>
    <w:rsid w:val="4C038F43"/>
    <w:rsid w:val="4C080D29"/>
    <w:rsid w:val="4C7DF5E0"/>
    <w:rsid w:val="4CB9A6FC"/>
    <w:rsid w:val="4CBA2968"/>
    <w:rsid w:val="4CC3546F"/>
    <w:rsid w:val="4CE118AE"/>
    <w:rsid w:val="4CF8DD53"/>
    <w:rsid w:val="4D0836C4"/>
    <w:rsid w:val="4D398322"/>
    <w:rsid w:val="4D47E00F"/>
    <w:rsid w:val="4D6C9BE5"/>
    <w:rsid w:val="4D7D8990"/>
    <w:rsid w:val="4D8B2773"/>
    <w:rsid w:val="4DB07FF1"/>
    <w:rsid w:val="4DB8F485"/>
    <w:rsid w:val="4DC9FD09"/>
    <w:rsid w:val="4DCE01B6"/>
    <w:rsid w:val="4DEB0B16"/>
    <w:rsid w:val="4DF06A9C"/>
    <w:rsid w:val="4E2223F9"/>
    <w:rsid w:val="4E31F798"/>
    <w:rsid w:val="4E375930"/>
    <w:rsid w:val="4E3D0061"/>
    <w:rsid w:val="4E5B652F"/>
    <w:rsid w:val="4E68B7B9"/>
    <w:rsid w:val="4E8AD1F1"/>
    <w:rsid w:val="4ED38F0C"/>
    <w:rsid w:val="4EEF17AC"/>
    <w:rsid w:val="4F035CC2"/>
    <w:rsid w:val="4F05D485"/>
    <w:rsid w:val="4F739813"/>
    <w:rsid w:val="4F75C1DF"/>
    <w:rsid w:val="4F8FC723"/>
    <w:rsid w:val="4F9A0E9F"/>
    <w:rsid w:val="4F9AFCFB"/>
    <w:rsid w:val="4F9EC751"/>
    <w:rsid w:val="4FB43B0A"/>
    <w:rsid w:val="4FC2C045"/>
    <w:rsid w:val="5046582C"/>
    <w:rsid w:val="505D0A89"/>
    <w:rsid w:val="5062A669"/>
    <w:rsid w:val="50765906"/>
    <w:rsid w:val="50A7A064"/>
    <w:rsid w:val="50DD0CF4"/>
    <w:rsid w:val="50DD9619"/>
    <w:rsid w:val="51049B70"/>
    <w:rsid w:val="5107B41B"/>
    <w:rsid w:val="51228474"/>
    <w:rsid w:val="5137F4D9"/>
    <w:rsid w:val="513F3A98"/>
    <w:rsid w:val="51556B5D"/>
    <w:rsid w:val="517879CA"/>
    <w:rsid w:val="51886961"/>
    <w:rsid w:val="518C5588"/>
    <w:rsid w:val="5198140E"/>
    <w:rsid w:val="51AB9AF3"/>
    <w:rsid w:val="52141FE7"/>
    <w:rsid w:val="5216DD67"/>
    <w:rsid w:val="523A21F4"/>
    <w:rsid w:val="5243B062"/>
    <w:rsid w:val="5255BCE9"/>
    <w:rsid w:val="52B66F32"/>
    <w:rsid w:val="530D045A"/>
    <w:rsid w:val="530E7F80"/>
    <w:rsid w:val="53124442"/>
    <w:rsid w:val="532EF797"/>
    <w:rsid w:val="5353D227"/>
    <w:rsid w:val="5397AD2A"/>
    <w:rsid w:val="53EA7B6F"/>
    <w:rsid w:val="5417375E"/>
    <w:rsid w:val="54300526"/>
    <w:rsid w:val="5456ACDD"/>
    <w:rsid w:val="54630F52"/>
    <w:rsid w:val="547FC9D6"/>
    <w:rsid w:val="54941E0C"/>
    <w:rsid w:val="549F1087"/>
    <w:rsid w:val="54AB9932"/>
    <w:rsid w:val="54BD7E5A"/>
    <w:rsid w:val="54D48668"/>
    <w:rsid w:val="5509642C"/>
    <w:rsid w:val="55196713"/>
    <w:rsid w:val="551A90D5"/>
    <w:rsid w:val="55275FEA"/>
    <w:rsid w:val="5530BCB3"/>
    <w:rsid w:val="554BB306"/>
    <w:rsid w:val="5568DDB3"/>
    <w:rsid w:val="5594894D"/>
    <w:rsid w:val="55ACE087"/>
    <w:rsid w:val="55BF1371"/>
    <w:rsid w:val="55DDAB53"/>
    <w:rsid w:val="560FEC86"/>
    <w:rsid w:val="56195FB5"/>
    <w:rsid w:val="562228B3"/>
    <w:rsid w:val="562DCFA1"/>
    <w:rsid w:val="5638152A"/>
    <w:rsid w:val="56853441"/>
    <w:rsid w:val="569A39CE"/>
    <w:rsid w:val="56DD7739"/>
    <w:rsid w:val="571925FD"/>
    <w:rsid w:val="571C62E4"/>
    <w:rsid w:val="57203B9E"/>
    <w:rsid w:val="5735DC82"/>
    <w:rsid w:val="573E9DD9"/>
    <w:rsid w:val="57631CE0"/>
    <w:rsid w:val="57866821"/>
    <w:rsid w:val="57A07D89"/>
    <w:rsid w:val="57B1D9E8"/>
    <w:rsid w:val="57B6F01A"/>
    <w:rsid w:val="57CC0963"/>
    <w:rsid w:val="5804500A"/>
    <w:rsid w:val="5809859A"/>
    <w:rsid w:val="581D0647"/>
    <w:rsid w:val="582BD096"/>
    <w:rsid w:val="583AC21C"/>
    <w:rsid w:val="5862AB5B"/>
    <w:rsid w:val="58636DDC"/>
    <w:rsid w:val="58788CFA"/>
    <w:rsid w:val="5881D7F8"/>
    <w:rsid w:val="58C16BAB"/>
    <w:rsid w:val="58E0A370"/>
    <w:rsid w:val="590D3720"/>
    <w:rsid w:val="590F5454"/>
    <w:rsid w:val="5911E18E"/>
    <w:rsid w:val="59512A6C"/>
    <w:rsid w:val="598F4661"/>
    <w:rsid w:val="599C064B"/>
    <w:rsid w:val="59B40DFF"/>
    <w:rsid w:val="59C04897"/>
    <w:rsid w:val="59DAF575"/>
    <w:rsid w:val="59FFB053"/>
    <w:rsid w:val="5A059FF8"/>
    <w:rsid w:val="5A0A9A2D"/>
    <w:rsid w:val="5A2B919C"/>
    <w:rsid w:val="5A367A1E"/>
    <w:rsid w:val="5A7009F5"/>
    <w:rsid w:val="5AA40F4F"/>
    <w:rsid w:val="5ABE01BF"/>
    <w:rsid w:val="5ACCD843"/>
    <w:rsid w:val="5AEAE812"/>
    <w:rsid w:val="5B055805"/>
    <w:rsid w:val="5B2F60EA"/>
    <w:rsid w:val="5B314A01"/>
    <w:rsid w:val="5B761FE6"/>
    <w:rsid w:val="5B8BE4B8"/>
    <w:rsid w:val="5B906D27"/>
    <w:rsid w:val="5BA9D27E"/>
    <w:rsid w:val="5BAD687B"/>
    <w:rsid w:val="5BCA7AC7"/>
    <w:rsid w:val="5BD5CF24"/>
    <w:rsid w:val="5BD70A89"/>
    <w:rsid w:val="5BF292F5"/>
    <w:rsid w:val="5BFEC6E9"/>
    <w:rsid w:val="5C2301F2"/>
    <w:rsid w:val="5C428A2A"/>
    <w:rsid w:val="5C759F3F"/>
    <w:rsid w:val="5C7FA744"/>
    <w:rsid w:val="5C9511BF"/>
    <w:rsid w:val="5CBAC709"/>
    <w:rsid w:val="5CC28389"/>
    <w:rsid w:val="5CD2A867"/>
    <w:rsid w:val="5CD68ECF"/>
    <w:rsid w:val="5CD7C5C5"/>
    <w:rsid w:val="5CDCB277"/>
    <w:rsid w:val="5D057B45"/>
    <w:rsid w:val="5D0A9705"/>
    <w:rsid w:val="5D0EC0A9"/>
    <w:rsid w:val="5D273FE2"/>
    <w:rsid w:val="5D48C7F3"/>
    <w:rsid w:val="5D57E0DD"/>
    <w:rsid w:val="5D5B3150"/>
    <w:rsid w:val="5D653EF4"/>
    <w:rsid w:val="5D66B9B9"/>
    <w:rsid w:val="5D6EE46E"/>
    <w:rsid w:val="5D78AEC2"/>
    <w:rsid w:val="5D79A0AA"/>
    <w:rsid w:val="5D890421"/>
    <w:rsid w:val="5DABB1B7"/>
    <w:rsid w:val="5DB21AE4"/>
    <w:rsid w:val="5DE62121"/>
    <w:rsid w:val="5DF21524"/>
    <w:rsid w:val="5DFAE2CA"/>
    <w:rsid w:val="5DFF665E"/>
    <w:rsid w:val="5E1C4ABB"/>
    <w:rsid w:val="5E208F32"/>
    <w:rsid w:val="5E75F214"/>
    <w:rsid w:val="5E9BA7D7"/>
    <w:rsid w:val="5EB03CE0"/>
    <w:rsid w:val="5EB2CE75"/>
    <w:rsid w:val="5EC7BB53"/>
    <w:rsid w:val="5EC9AB08"/>
    <w:rsid w:val="5ECF6EC6"/>
    <w:rsid w:val="5ED59738"/>
    <w:rsid w:val="5EF4F357"/>
    <w:rsid w:val="5F056391"/>
    <w:rsid w:val="5F3FA313"/>
    <w:rsid w:val="5F58CD0A"/>
    <w:rsid w:val="5F82713B"/>
    <w:rsid w:val="5F9BD7F9"/>
    <w:rsid w:val="5FD04B01"/>
    <w:rsid w:val="5FEB9D14"/>
    <w:rsid w:val="5FFD0CA4"/>
    <w:rsid w:val="60667550"/>
    <w:rsid w:val="609145FE"/>
    <w:rsid w:val="609E15C2"/>
    <w:rsid w:val="60B35EF8"/>
    <w:rsid w:val="60C1942B"/>
    <w:rsid w:val="60E8C1B5"/>
    <w:rsid w:val="60F107A2"/>
    <w:rsid w:val="61189C08"/>
    <w:rsid w:val="611AB13D"/>
    <w:rsid w:val="61305C2C"/>
    <w:rsid w:val="61358591"/>
    <w:rsid w:val="613D2893"/>
    <w:rsid w:val="613EEFDC"/>
    <w:rsid w:val="6142370B"/>
    <w:rsid w:val="6147D43C"/>
    <w:rsid w:val="614F189B"/>
    <w:rsid w:val="615B1CE2"/>
    <w:rsid w:val="616B69DB"/>
    <w:rsid w:val="61713503"/>
    <w:rsid w:val="61912861"/>
    <w:rsid w:val="61A75AC5"/>
    <w:rsid w:val="61A86A45"/>
    <w:rsid w:val="61AE7946"/>
    <w:rsid w:val="61B75211"/>
    <w:rsid w:val="624A16E6"/>
    <w:rsid w:val="6250C9DD"/>
    <w:rsid w:val="62B73EE3"/>
    <w:rsid w:val="62E5A90E"/>
    <w:rsid w:val="62E7C517"/>
    <w:rsid w:val="62E95211"/>
    <w:rsid w:val="62E952BA"/>
    <w:rsid w:val="62F497AF"/>
    <w:rsid w:val="62F94D27"/>
    <w:rsid w:val="62FE7028"/>
    <w:rsid w:val="630328E0"/>
    <w:rsid w:val="631427F1"/>
    <w:rsid w:val="631447C1"/>
    <w:rsid w:val="633A34D4"/>
    <w:rsid w:val="6343B89F"/>
    <w:rsid w:val="634B7029"/>
    <w:rsid w:val="63623E19"/>
    <w:rsid w:val="636BDC7A"/>
    <w:rsid w:val="6378B403"/>
    <w:rsid w:val="6396AD1F"/>
    <w:rsid w:val="63A5A5E4"/>
    <w:rsid w:val="63A75FBB"/>
    <w:rsid w:val="63EDCAA0"/>
    <w:rsid w:val="63F295B5"/>
    <w:rsid w:val="640C1644"/>
    <w:rsid w:val="640F7255"/>
    <w:rsid w:val="641AFB66"/>
    <w:rsid w:val="641D8AAB"/>
    <w:rsid w:val="641E6565"/>
    <w:rsid w:val="6448E0EA"/>
    <w:rsid w:val="644F4BF3"/>
    <w:rsid w:val="645F2B68"/>
    <w:rsid w:val="646674C0"/>
    <w:rsid w:val="647FC1BA"/>
    <w:rsid w:val="64873F32"/>
    <w:rsid w:val="6496CD10"/>
    <w:rsid w:val="649CDBDF"/>
    <w:rsid w:val="64D7668D"/>
    <w:rsid w:val="64FC47F0"/>
    <w:rsid w:val="651AB716"/>
    <w:rsid w:val="6522A45C"/>
    <w:rsid w:val="65433416"/>
    <w:rsid w:val="6547A2A0"/>
    <w:rsid w:val="654A20EE"/>
    <w:rsid w:val="656037FF"/>
    <w:rsid w:val="65989BFB"/>
    <w:rsid w:val="659F6803"/>
    <w:rsid w:val="65AF928B"/>
    <w:rsid w:val="65BCAE3C"/>
    <w:rsid w:val="65F0EDC3"/>
    <w:rsid w:val="660596C0"/>
    <w:rsid w:val="6611F216"/>
    <w:rsid w:val="661AE5A7"/>
    <w:rsid w:val="664C1620"/>
    <w:rsid w:val="666623EE"/>
    <w:rsid w:val="666765B4"/>
    <w:rsid w:val="6676474A"/>
    <w:rsid w:val="668739A8"/>
    <w:rsid w:val="668C8171"/>
    <w:rsid w:val="66C3F0A6"/>
    <w:rsid w:val="670D4CF8"/>
    <w:rsid w:val="672D4A46"/>
    <w:rsid w:val="6743A80B"/>
    <w:rsid w:val="675150FC"/>
    <w:rsid w:val="675D59C0"/>
    <w:rsid w:val="677EC7C3"/>
    <w:rsid w:val="67846583"/>
    <w:rsid w:val="67A1DF4E"/>
    <w:rsid w:val="67AE6D5E"/>
    <w:rsid w:val="67E14DBC"/>
    <w:rsid w:val="682D0B56"/>
    <w:rsid w:val="685FDCC0"/>
    <w:rsid w:val="6887043B"/>
    <w:rsid w:val="68CDCD85"/>
    <w:rsid w:val="68E7961D"/>
    <w:rsid w:val="68EA98E7"/>
    <w:rsid w:val="68F0216C"/>
    <w:rsid w:val="69132641"/>
    <w:rsid w:val="692A5BAB"/>
    <w:rsid w:val="692B1DAE"/>
    <w:rsid w:val="693ADBA4"/>
    <w:rsid w:val="6958621A"/>
    <w:rsid w:val="69616876"/>
    <w:rsid w:val="6964CAA1"/>
    <w:rsid w:val="6965DD81"/>
    <w:rsid w:val="698F8455"/>
    <w:rsid w:val="69AE557B"/>
    <w:rsid w:val="69B05E49"/>
    <w:rsid w:val="69B4DC0B"/>
    <w:rsid w:val="69CC3AF4"/>
    <w:rsid w:val="69D34F89"/>
    <w:rsid w:val="69E90404"/>
    <w:rsid w:val="6A0887A0"/>
    <w:rsid w:val="6A0ACCF2"/>
    <w:rsid w:val="6A1FE6A6"/>
    <w:rsid w:val="6A6C5760"/>
    <w:rsid w:val="6A82ECF8"/>
    <w:rsid w:val="6A936DB0"/>
    <w:rsid w:val="6AADCBB1"/>
    <w:rsid w:val="6AB8DE7B"/>
    <w:rsid w:val="6AD4712B"/>
    <w:rsid w:val="6AE9BB52"/>
    <w:rsid w:val="6B102C97"/>
    <w:rsid w:val="6B16B745"/>
    <w:rsid w:val="6B1A1E9C"/>
    <w:rsid w:val="6B1AED6C"/>
    <w:rsid w:val="6B1DBAD1"/>
    <w:rsid w:val="6B416DBE"/>
    <w:rsid w:val="6B4F6213"/>
    <w:rsid w:val="6B768D9A"/>
    <w:rsid w:val="6BBA1276"/>
    <w:rsid w:val="6BC502CA"/>
    <w:rsid w:val="6BCEE520"/>
    <w:rsid w:val="6BD13A22"/>
    <w:rsid w:val="6BECBCB0"/>
    <w:rsid w:val="6BFBC2A1"/>
    <w:rsid w:val="6C1AFCB7"/>
    <w:rsid w:val="6C1C41FE"/>
    <w:rsid w:val="6C2ECBF3"/>
    <w:rsid w:val="6C2FEAB7"/>
    <w:rsid w:val="6C50C330"/>
    <w:rsid w:val="6C589023"/>
    <w:rsid w:val="6C5CAF6F"/>
    <w:rsid w:val="6C7B798F"/>
    <w:rsid w:val="6CC947F9"/>
    <w:rsid w:val="6CE1E86D"/>
    <w:rsid w:val="6D090BA8"/>
    <w:rsid w:val="6D14F234"/>
    <w:rsid w:val="6D5311A9"/>
    <w:rsid w:val="6D815DD0"/>
    <w:rsid w:val="6D81E41B"/>
    <w:rsid w:val="6D825C8B"/>
    <w:rsid w:val="6DC81445"/>
    <w:rsid w:val="6DDCB899"/>
    <w:rsid w:val="6DDD42E5"/>
    <w:rsid w:val="6DF1134D"/>
    <w:rsid w:val="6DF1790A"/>
    <w:rsid w:val="6E0235F3"/>
    <w:rsid w:val="6E0D5D8A"/>
    <w:rsid w:val="6E472B0F"/>
    <w:rsid w:val="6E50F222"/>
    <w:rsid w:val="6E51EE87"/>
    <w:rsid w:val="6E5A0BCE"/>
    <w:rsid w:val="6E5A1F95"/>
    <w:rsid w:val="6E795AD2"/>
    <w:rsid w:val="6E857AD7"/>
    <w:rsid w:val="6E929CAF"/>
    <w:rsid w:val="6EBE0C09"/>
    <w:rsid w:val="6ECA3545"/>
    <w:rsid w:val="6ED2F936"/>
    <w:rsid w:val="6EE2A91C"/>
    <w:rsid w:val="6EFCF05C"/>
    <w:rsid w:val="6F05BB75"/>
    <w:rsid w:val="6F1C8D3E"/>
    <w:rsid w:val="6F1DD699"/>
    <w:rsid w:val="6F2955EF"/>
    <w:rsid w:val="6F3F7BD7"/>
    <w:rsid w:val="6F549A6D"/>
    <w:rsid w:val="6F5EC9E5"/>
    <w:rsid w:val="6F6C9AEE"/>
    <w:rsid w:val="6F724151"/>
    <w:rsid w:val="6F85C2EC"/>
    <w:rsid w:val="6F9A4F13"/>
    <w:rsid w:val="6FA743BA"/>
    <w:rsid w:val="6FB3BBC4"/>
    <w:rsid w:val="6FE347CC"/>
    <w:rsid w:val="6FF5042E"/>
    <w:rsid w:val="6FFD1C14"/>
    <w:rsid w:val="703DDCEA"/>
    <w:rsid w:val="7053A602"/>
    <w:rsid w:val="70612647"/>
    <w:rsid w:val="706D3AED"/>
    <w:rsid w:val="706E4F37"/>
    <w:rsid w:val="70742FA1"/>
    <w:rsid w:val="708F6B4A"/>
    <w:rsid w:val="70A65A89"/>
    <w:rsid w:val="70A70227"/>
    <w:rsid w:val="70BF4CF5"/>
    <w:rsid w:val="70C9744B"/>
    <w:rsid w:val="70CB1945"/>
    <w:rsid w:val="70CF963A"/>
    <w:rsid w:val="70F43072"/>
    <w:rsid w:val="70F55CBF"/>
    <w:rsid w:val="70F8304B"/>
    <w:rsid w:val="710A20A2"/>
    <w:rsid w:val="712DAC4E"/>
    <w:rsid w:val="714DB208"/>
    <w:rsid w:val="716A10E6"/>
    <w:rsid w:val="71717E9F"/>
    <w:rsid w:val="71D72680"/>
    <w:rsid w:val="71DEFD56"/>
    <w:rsid w:val="720B6EF4"/>
    <w:rsid w:val="7214F838"/>
    <w:rsid w:val="723ED162"/>
    <w:rsid w:val="72556E98"/>
    <w:rsid w:val="7276546A"/>
    <w:rsid w:val="728FF48F"/>
    <w:rsid w:val="729C6C3B"/>
    <w:rsid w:val="72C6665F"/>
    <w:rsid w:val="732D21A8"/>
    <w:rsid w:val="7358C5B5"/>
    <w:rsid w:val="7395497E"/>
    <w:rsid w:val="73A594B3"/>
    <w:rsid w:val="73C6F824"/>
    <w:rsid w:val="73D17EA3"/>
    <w:rsid w:val="73DFEC40"/>
    <w:rsid w:val="73F4FF97"/>
    <w:rsid w:val="73FD69F5"/>
    <w:rsid w:val="740514B2"/>
    <w:rsid w:val="74084AF3"/>
    <w:rsid w:val="74175E88"/>
    <w:rsid w:val="74236C34"/>
    <w:rsid w:val="74331BCE"/>
    <w:rsid w:val="7438185E"/>
    <w:rsid w:val="7458A90C"/>
    <w:rsid w:val="749E5AB0"/>
    <w:rsid w:val="74A1DE83"/>
    <w:rsid w:val="74A9F82D"/>
    <w:rsid w:val="74C24D1C"/>
    <w:rsid w:val="74D5B58F"/>
    <w:rsid w:val="74E30EB7"/>
    <w:rsid w:val="74E4257C"/>
    <w:rsid w:val="74E6A080"/>
    <w:rsid w:val="750A8ECC"/>
    <w:rsid w:val="7512170A"/>
    <w:rsid w:val="75141D2C"/>
    <w:rsid w:val="751911F7"/>
    <w:rsid w:val="756AE117"/>
    <w:rsid w:val="756F4FCB"/>
    <w:rsid w:val="757BB15D"/>
    <w:rsid w:val="75873143"/>
    <w:rsid w:val="758FAB59"/>
    <w:rsid w:val="75A15DF1"/>
    <w:rsid w:val="75AFB5D8"/>
    <w:rsid w:val="75BF6900"/>
    <w:rsid w:val="75BF8B38"/>
    <w:rsid w:val="75E01BB2"/>
    <w:rsid w:val="75F5C24B"/>
    <w:rsid w:val="75F6722F"/>
    <w:rsid w:val="7614027C"/>
    <w:rsid w:val="761E8081"/>
    <w:rsid w:val="7676D276"/>
    <w:rsid w:val="76A7A1F6"/>
    <w:rsid w:val="76D8CABF"/>
    <w:rsid w:val="76E006D0"/>
    <w:rsid w:val="77026D66"/>
    <w:rsid w:val="7716A7DC"/>
    <w:rsid w:val="77366FBB"/>
    <w:rsid w:val="773D7987"/>
    <w:rsid w:val="77592DA7"/>
    <w:rsid w:val="77D2987B"/>
    <w:rsid w:val="77E97DEA"/>
    <w:rsid w:val="7807418D"/>
    <w:rsid w:val="780FAAA0"/>
    <w:rsid w:val="7813CD72"/>
    <w:rsid w:val="78185E3C"/>
    <w:rsid w:val="788BF012"/>
    <w:rsid w:val="78AD92F9"/>
    <w:rsid w:val="78CAC85A"/>
    <w:rsid w:val="78EA266E"/>
    <w:rsid w:val="78F105E2"/>
    <w:rsid w:val="790ACE02"/>
    <w:rsid w:val="7915A91C"/>
    <w:rsid w:val="792F93F1"/>
    <w:rsid w:val="794868EF"/>
    <w:rsid w:val="794C17F1"/>
    <w:rsid w:val="79827851"/>
    <w:rsid w:val="798B4700"/>
    <w:rsid w:val="79B59CCF"/>
    <w:rsid w:val="79C2DB8B"/>
    <w:rsid w:val="79D988FA"/>
    <w:rsid w:val="7A24285D"/>
    <w:rsid w:val="7A669D39"/>
    <w:rsid w:val="7A7B5BD9"/>
    <w:rsid w:val="7A7DC5EE"/>
    <w:rsid w:val="7AAD76EB"/>
    <w:rsid w:val="7AC0748D"/>
    <w:rsid w:val="7AC7E9DF"/>
    <w:rsid w:val="7AC8F516"/>
    <w:rsid w:val="7AE15359"/>
    <w:rsid w:val="7AF66C96"/>
    <w:rsid w:val="7B3E1762"/>
    <w:rsid w:val="7B44E46D"/>
    <w:rsid w:val="7B7E1B6C"/>
    <w:rsid w:val="7B84C249"/>
    <w:rsid w:val="7B89B30E"/>
    <w:rsid w:val="7BAAF008"/>
    <w:rsid w:val="7BBA50AB"/>
    <w:rsid w:val="7C23596B"/>
    <w:rsid w:val="7C42696F"/>
    <w:rsid w:val="7C48828D"/>
    <w:rsid w:val="7C627992"/>
    <w:rsid w:val="7C908D30"/>
    <w:rsid w:val="7C9498C3"/>
    <w:rsid w:val="7C9D2FEE"/>
    <w:rsid w:val="7CEBBB9A"/>
    <w:rsid w:val="7CF8FA80"/>
    <w:rsid w:val="7D32EDC9"/>
    <w:rsid w:val="7D368D19"/>
    <w:rsid w:val="7D7DB3D8"/>
    <w:rsid w:val="7D82B325"/>
    <w:rsid w:val="7D8D38CD"/>
    <w:rsid w:val="7DBEDB6D"/>
    <w:rsid w:val="7DE2329F"/>
    <w:rsid w:val="7E08C02A"/>
    <w:rsid w:val="7E161E3C"/>
    <w:rsid w:val="7E352459"/>
    <w:rsid w:val="7E77FA71"/>
    <w:rsid w:val="7E9202BA"/>
    <w:rsid w:val="7E9C0ABB"/>
    <w:rsid w:val="7EEAD45B"/>
    <w:rsid w:val="7EEE2C38"/>
    <w:rsid w:val="7F18B0E4"/>
    <w:rsid w:val="7F234239"/>
    <w:rsid w:val="7F3A433D"/>
    <w:rsid w:val="7F62E2DE"/>
    <w:rsid w:val="7F6FA882"/>
    <w:rsid w:val="7F6FE519"/>
    <w:rsid w:val="7F7C0A12"/>
    <w:rsid w:val="7F7CEB2A"/>
    <w:rsid w:val="7F992080"/>
    <w:rsid w:val="7FB28524"/>
    <w:rsid w:val="7FB8B4B5"/>
    <w:rsid w:val="7FB9DA1A"/>
    <w:rsid w:val="7FC09B97"/>
    <w:rsid w:val="7FF7B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paragraph" w:styleId="Heading3">
    <w:name w:val="heading 3"/>
    <w:basedOn w:val="Normal"/>
    <w:next w:val="Normal"/>
    <w:uiPriority w:val="9"/>
    <w:unhideWhenUsed/>
    <w:qFormat/>
    <w:rsid w:val="3A8082D8"/>
    <w:pPr>
      <w:keepNext/>
      <w:keepLines/>
      <w:spacing w:before="160" w:after="80"/>
      <w:outlineLvl w:val="2"/>
    </w:pPr>
    <w:rPr>
      <w:rFonts w:eastAsiaTheme="minorEastAsia" w:cstheme="majorEastAsia"/>
      <w:color w:val="365F91" w:themeColor="accent1" w:themeShade="BF"/>
      <w:sz w:val="28"/>
      <w:szCs w:val="28"/>
    </w:rPr>
  </w:style>
  <w:style w:type="paragraph" w:styleId="Heading4">
    <w:name w:val="heading 4"/>
    <w:basedOn w:val="Normal"/>
    <w:next w:val="Normal"/>
    <w:uiPriority w:val="9"/>
    <w:unhideWhenUsed/>
    <w:qFormat/>
    <w:rsid w:val="3A8082D8"/>
    <w:pPr>
      <w:keepNext/>
      <w:keepLines/>
      <w:spacing w:before="80" w:after="40"/>
      <w:outlineLvl w:val="3"/>
    </w:pPr>
    <w:rPr>
      <w:rFonts w:eastAsiaTheme="minorEastAsia" w:cs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Normal"/>
    <w:link w:val="ListParagraphChar"/>
    <w:uiPriority w:val="34"/>
    <w:qFormat/>
    <w:rsid w:val="005570B5"/>
    <w:pPr>
      <w:numPr>
        <w:numId w:val="5"/>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4"/>
      </w:numPr>
    </w:pPr>
  </w:style>
  <w:style w:type="paragraph" w:customStyle="1" w:styleId="Bulletpoints">
    <w:name w:val="Bullet points"/>
    <w:basedOn w:val="Normal"/>
    <w:link w:val="BulletpointsChar"/>
    <w:qFormat/>
    <w:rsid w:val="005570B5"/>
    <w:pPr>
      <w:numPr>
        <w:numId w:val="6"/>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aliases w:val="F5 List Paragraph Char,Dot pt Char,No Spacing1 Char,List Paragraph Char Char Char Char,Indicator Text Char,List Paragraph1 Char,Colorful List - Accent 11 Char,Numbered Para 1 Char,Bullet 1 Char,Bullet Points Char,MAIN CONTENT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8"/>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le">
    <w:name w:val="Title"/>
    <w:basedOn w:val="Normal"/>
    <w:next w:val="Normal"/>
    <w:uiPriority w:val="10"/>
    <w:qFormat/>
    <w:rsid w:val="0F519E25"/>
    <w:pPr>
      <w:spacing w:after="80"/>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gov.uk/street-trading/street-trading-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FC91680610D4F94B30ED0A82EEB24" ma:contentTypeVersion="17" ma:contentTypeDescription="Create a new document." ma:contentTypeScope="" ma:versionID="22281331dfd2bb0dfbaa62f2b7981a70">
  <xsd:schema xmlns:xsd="http://www.w3.org/2001/XMLSchema" xmlns:xs="http://www.w3.org/2001/XMLSchema" xmlns:p="http://schemas.microsoft.com/office/2006/metadata/properties" xmlns:ns2="c15d38c1-f413-4287-b154-bf9a58024cc0" xmlns:ns3="0c4673fa-0c6b-42a0-a071-de15f8cfc23a" targetNamespace="http://schemas.microsoft.com/office/2006/metadata/properties" ma:root="true" ma:fieldsID="cc42e34e3da7d3bf978fdaa0cc7d67d0" ns2:_="" ns3:_="">
    <xsd:import namespace="c15d38c1-f413-4287-b154-bf9a58024cc0"/>
    <xsd:import namespace="0c4673fa-0c6b-42a0-a071-de15f8cfc2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element ref="ns2:AreaofWork" minOccurs="0"/>
                <xsd:element ref="ns2:DocumentTyp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d38c1-f413-4287-b154-bf9a58024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reaofWork" ma:index="20" nillable="true" ma:displayName="Area of Work" ma:format="Dropdown" ma:internalName="AreaofWork">
      <xsd:complexType>
        <xsd:complexContent>
          <xsd:extension base="dms:MultiChoice">
            <xsd:sequence>
              <xsd:element name="Value" maxOccurs="unbounded" minOccurs="0" nillable="true">
                <xsd:simpleType>
                  <xsd:restriction base="dms:Choice">
                    <xsd:enumeration value="General Purposes Licensing Casework Subcommittee"/>
                    <xsd:enumeration value="General Purposes Licensing Committee"/>
                    <xsd:enumeration value="Pavement Licence"/>
                    <xsd:enumeration value="Street Trading"/>
                    <xsd:enumeration value="Safety Advisory Group"/>
                    <xsd:enumeration value="Skin Piercing"/>
                    <xsd:enumeration value="House to House Collection"/>
                    <xsd:enumeration value="Street Collection"/>
                    <xsd:enumeration value="Animal Welfare"/>
                    <xsd:enumeration value="Dog Breeding"/>
                    <xsd:enumeration value="Dog Boarding"/>
                    <xsd:enumeration value="Cat boarding"/>
                    <xsd:enumeration value="Exhibiting Animals"/>
                    <xsd:enumeration value="Pet Shop"/>
                    <xsd:enumeration value="Zoo"/>
                    <xsd:enumeration value="Dangerous Wild Animal"/>
                    <xsd:enumeration value="Event Trading"/>
                    <xsd:enumeration value="All ML"/>
                    <xsd:enumeration value="Financial"/>
                    <xsd:enumeration value="FOI"/>
                  </xsd:restriction>
                </xsd:simpleType>
              </xsd:element>
            </xsd:sequence>
          </xsd:extension>
        </xsd:complexContent>
      </xsd:complexType>
    </xsd:element>
    <xsd:element name="DocumentType" ma:index="21"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Application Form"/>
                    <xsd:enumeration value="Consent Form"/>
                    <xsd:enumeration value="Plans"/>
                    <xsd:enumeration value="Certificate/Identification"/>
                    <xsd:enumeration value="Report"/>
                    <xsd:enumeration value="Template"/>
                    <xsd:enumeration value="Register"/>
                    <xsd:enumeration value="Photo"/>
                    <xsd:enumeration value="Consultation"/>
                    <xsd:enumeration value="Licence"/>
                    <xsd:enumeration value="Meetings"/>
                    <xsd:enumeration value="FOI"/>
                    <xsd:enumeration value="Letter"/>
                  </xsd:restriction>
                </xsd:simpleType>
              </xsd:element>
            </xsd:sequence>
          </xsd:extension>
        </xsd:complexContent>
      </xsd:complexType>
    </xsd:element>
    <xsd:element name="Notes" ma:index="22" nillable="true" ma:displayName="Notes" ma:description="Expires 30th September 2026"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673fa-0c6b-42a0-a071-de15f8cfc2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65f6cc-c9b0-4c56-bd75-4c84b360d7b1}" ma:internalName="TaxCatchAll" ma:showField="CatchAllData" ma:web="0c4673fa-0c6b-42a0-a071-de15f8cfc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5d38c1-f413-4287-b154-bf9a58024cc0">
      <Terms xmlns="http://schemas.microsoft.com/office/infopath/2007/PartnerControls"/>
    </lcf76f155ced4ddcb4097134ff3c332f>
    <TaxCatchAll xmlns="0c4673fa-0c6b-42a0-a071-de15f8cfc23a" xsi:nil="true"/>
    <Notes xmlns="c15d38c1-f413-4287-b154-bf9a58024cc0" xsi:nil="true"/>
    <AreaofWork xmlns="c15d38c1-f413-4287-b154-bf9a58024cc0" xsi:nil="true"/>
    <DocumentType xmlns="c15d38c1-f413-4287-b154-bf9a58024cc0" xsi:nil="true"/>
  </documentManagement>
</p:properties>
</file>

<file path=customXml/itemProps1.xml><?xml version="1.0" encoding="utf-8"?>
<ds:datastoreItem xmlns:ds="http://schemas.openxmlformats.org/officeDocument/2006/customXml" ds:itemID="{87C4D223-BE54-4AE9-8317-85B7B1FE331D}">
  <ds:schemaRefs>
    <ds:schemaRef ds:uri="http://schemas.microsoft.com/sharepoint/v3/contenttype/forms"/>
  </ds:schemaRefs>
</ds:datastoreItem>
</file>

<file path=customXml/itemProps2.xml><?xml version="1.0" encoding="utf-8"?>
<ds:datastoreItem xmlns:ds="http://schemas.openxmlformats.org/officeDocument/2006/customXml" ds:itemID="{FE191595-FDDF-42CD-9BA4-A4D81F376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d38c1-f413-4287-b154-bf9a58024cc0"/>
    <ds:schemaRef ds:uri="0c4673fa-0c6b-42a0-a071-de15f8cfc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DAED6D71-668A-4C5B-8F4B-2D0708DD12CE}">
  <ds:schemaRefs>
    <ds:schemaRef ds:uri="http://schemas.microsoft.com/office/2006/metadata/properties"/>
    <ds:schemaRef ds:uri="http://schemas.microsoft.com/office/infopath/2007/PartnerControls"/>
    <ds:schemaRef ds:uri="c15d38c1-f413-4287-b154-bf9a58024cc0"/>
    <ds:schemaRef ds:uri="0c4673fa-0c6b-42a0-a071-de15f8cfc2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KHAN Uswah</cp:lastModifiedBy>
  <cp:revision>2</cp:revision>
  <cp:lastPrinted>2015-07-03T13:50:00Z</cp:lastPrinted>
  <dcterms:created xsi:type="dcterms:W3CDTF">2025-10-23T15:52:00Z</dcterms:created>
  <dcterms:modified xsi:type="dcterms:W3CDTF">2025-10-23T15:52:00Z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0x010100D65FC91680610D4F94B30ED0A82EEB24</vt:lpwstr>
  </property>
  <property fmtid="{D5CDD505-2E9C-101B-9397-08002B2CF9AE}" pid="3" name="MediaServiceImageTags">
    <vt:lpwstr/>
  </property>
</Properties>
</file>